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jc w:val="cente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pStyle w:val="979"/>
        <w:ind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eastAsia="zh-CN"/>
        </w:rPr>
        <w:t xml:space="preserve">连云港开放大学一体化综合管理平台（专门面向中小企业）</w:t>
      </w:r>
      <w:r/>
    </w:p>
    <w:p>
      <w:pPr>
        <w:pStyle w:val="979"/>
        <w:ind w:firstLine="0"/>
        <w:jc w:val="both"/>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r>
      <w:r/>
    </w:p>
    <w:p>
      <w:pPr>
        <w:pStyle w:val="979"/>
        <w:ind w:firstLine="0"/>
        <w:jc w:val="center"/>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r>
      <w:r/>
    </w:p>
    <w:p>
      <w:pPr>
        <w:pStyle w:val="979"/>
        <w:ind w:firstLine="0"/>
        <w:jc w:val="center"/>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t xml:space="preserve">招标文件</w:t>
      </w:r>
      <w:r/>
    </w:p>
    <w:p>
      <w:pPr>
        <w:pStyle w:val="979"/>
        <w:ind w:left="0"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32"/>
          <w:highlight w:val="none"/>
        </w:rPr>
        <w:t xml:space="preserve">项目编号：JSZC-320700-HRGJ-G2026-0013</w:t>
      </w:r>
      <w:r/>
    </w:p>
    <w:p>
      <w:pPr>
        <w:pStyle w:val="979"/>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9"/>
        <w:ind w:left="0" w:firstLine="0"/>
        <w:jc w:val="both"/>
        <w:rPr>
          <w:rFonts w:hint="eastAsia" w:ascii="宋体" w:hAnsi="宋体" w:eastAsia="宋体" w:cs="宋体"/>
          <w:b/>
          <w:bCs/>
          <w:color w:val="auto"/>
          <w:sz w:val="32"/>
          <w:highlight w:val="none"/>
        </w:rPr>
        <w:outlineLvl w:val="0"/>
      </w:pPr>
      <w:r/>
      <w:bookmarkStart w:id="0" w:name="_Toc17408"/>
      <w:r/>
      <w:bookmarkStart w:id="1" w:name="_Toc13903"/>
      <w:r/>
      <w:bookmarkStart w:id="2" w:name="_Toc7719"/>
      <w:r/>
      <w:bookmarkStart w:id="3" w:name="_Toc10532"/>
      <w:r/>
      <w:r/>
    </w:p>
    <w:p>
      <w:pPr>
        <w:pStyle w:val="979"/>
        <w:ind w:left="0" w:firstLine="1606"/>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79"/>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79"/>
        <w:ind w:left="0" w:firstLine="1285"/>
        <w:jc w:val="both"/>
        <w:rPr>
          <w:rFonts w:hint="eastAsia" w:ascii="宋体" w:hAnsi="宋体" w:eastAsia="宋体" w:cs="宋体"/>
          <w:b/>
          <w:bCs/>
          <w:color w:val="auto"/>
          <w:sz w:val="32"/>
          <w:highlight w:val="none"/>
          <w:lang w:eastAsia="zh-CN"/>
        </w:rPr>
        <w:outlineLvl w:val="0"/>
      </w:pPr>
      <w:r>
        <w:rPr>
          <w:rFonts w:hint="eastAsia" w:ascii="宋体" w:hAnsi="宋体" w:eastAsia="宋体" w:cs="宋体"/>
          <w:b/>
          <w:bCs/>
          <w:color w:val="auto"/>
          <w:sz w:val="32"/>
          <w:highlight w:val="none"/>
          <w:lang w:val="en-US" w:eastAsia="zh-CN"/>
        </w:rPr>
        <w:t xml:space="preserve">采   购   </w:t>
      </w:r>
      <w:r>
        <w:rPr>
          <w:rFonts w:hint="eastAsia" w:ascii="宋体" w:hAnsi="宋体" w:eastAsia="宋体" w:cs="宋体"/>
          <w:b/>
          <w:bCs/>
          <w:color w:val="auto"/>
          <w:sz w:val="32"/>
          <w:highlight w:val="none"/>
        </w:rPr>
        <w:t xml:space="preserve">人：</w:t>
      </w:r>
      <w:bookmarkEnd w:id="0"/>
      <w:r/>
      <w:bookmarkEnd w:id="1"/>
      <w:r/>
      <w:bookmarkEnd w:id="2"/>
      <w:r/>
      <w:bookmarkEnd w:id="3"/>
      <w:r/>
      <w:bookmarkStart w:id="4" w:name="_Toc2460"/>
      <w:r/>
      <w:bookmarkStart w:id="5" w:name="_Toc1865"/>
      <w:r/>
      <w:bookmarkStart w:id="6" w:name="_Toc25504"/>
      <w:r/>
      <w:bookmarkStart w:id="7" w:name="_Toc31270"/>
      <w:r/>
      <w:bookmarkStart w:id="8" w:name="_Toc1689"/>
      <w:r/>
      <w:bookmarkStart w:id="9" w:name="_Toc17956"/>
      <w:r/>
      <w:bookmarkStart w:id="10" w:name="_Toc14767"/>
      <w:r/>
      <w:bookmarkStart w:id="11" w:name="_Toc931"/>
      <w:r>
        <w:rPr>
          <w:rFonts w:hint="eastAsia" w:ascii="宋体" w:hAnsi="宋体" w:eastAsia="宋体" w:cs="宋体"/>
          <w:b/>
          <w:bCs/>
          <w:color w:val="auto"/>
          <w:sz w:val="32"/>
          <w:highlight w:val="none"/>
          <w:lang w:eastAsia="zh-CN"/>
        </w:rPr>
        <w:t xml:space="preserve">连云港开放大学</w:t>
      </w:r>
      <w:r/>
    </w:p>
    <w:p>
      <w:pPr>
        <w:pStyle w:val="979"/>
        <w:jc w:val="center"/>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lang w:val="en-US" w:eastAsia="zh-CN"/>
        </w:rPr>
        <w:t xml:space="preserve">   采购</w:t>
      </w:r>
      <w:r>
        <w:rPr>
          <w:rFonts w:hint="eastAsia" w:ascii="宋体" w:hAnsi="宋体" w:eastAsia="宋体" w:cs="宋体"/>
          <w:b/>
          <w:bCs/>
          <w:color w:val="auto"/>
          <w:sz w:val="32"/>
          <w:highlight w:val="none"/>
        </w:rPr>
        <w:t xml:space="preserve">代理机构：</w:t>
      </w:r>
      <w:bookmarkEnd w:id="4"/>
      <w:r/>
      <w:bookmarkEnd w:id="5"/>
      <w:r/>
      <w:bookmarkEnd w:id="6"/>
      <w:r/>
      <w:bookmarkEnd w:id="7"/>
      <w:r/>
      <w:bookmarkEnd w:id="8"/>
      <w:r/>
      <w:bookmarkEnd w:id="9"/>
      <w:r/>
      <w:bookmarkEnd w:id="10"/>
      <w:r/>
      <w:bookmarkEnd w:id="11"/>
      <w:r>
        <w:rPr>
          <w:rFonts w:hint="eastAsia" w:ascii="宋体" w:hAnsi="宋体" w:eastAsia="宋体" w:cs="宋体"/>
          <w:b/>
          <w:bCs/>
          <w:color w:val="auto"/>
          <w:sz w:val="32"/>
          <w:highlight w:val="none"/>
        </w:rPr>
        <w:t xml:space="preserve">华瑞国际工程咨询集团有限公司</w:t>
      </w:r>
      <w:r/>
    </w:p>
    <w:p>
      <w:pPr>
        <w:pStyle w:val="979"/>
        <w:ind w:firstLine="0"/>
        <w:jc w:val="center"/>
        <w:rPr>
          <w:rFonts w:hint="eastAsia" w:ascii="宋体" w:hAnsi="宋体" w:eastAsia="宋体" w:cs="宋体"/>
          <w:b w:val="0"/>
          <w:color w:val="auto"/>
          <w:highlight w:val="none"/>
        </w:rPr>
      </w:pPr>
      <w:r>
        <w:rPr>
          <w:rFonts w:hint="eastAsia" w:ascii="宋体" w:hAnsi="宋体" w:eastAsia="宋体" w:cs="宋体"/>
          <w:b/>
          <w:bCs/>
          <w:color w:val="auto"/>
          <w:sz w:val="32"/>
          <w:highlight w:val="non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07</w:t>
      </w:r>
      <w:r>
        <w:rPr>
          <w:rFonts w:hint="eastAsia" w:ascii="宋体" w:hAnsi="宋体" w:eastAsia="宋体" w:cs="宋体"/>
          <w:b/>
          <w:bCs/>
          <w:color w:val="auto"/>
          <w:sz w:val="32"/>
          <w:highlight w:val="none"/>
        </w:rPr>
        <w:t xml:space="preserve">月</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"1-1" \u </w:instrText>
      </w:r>
      <w:r>
        <w:rPr>
          <w:rFonts w:hint="eastAsia" w:ascii="宋体" w:hAnsi="宋体" w:eastAsia="宋体" w:cs="宋体"/>
          <w:color w:val="auto"/>
          <w:highlight w:val="none"/>
        </w:rPr>
        <w:fldChar w:fldCharType="separate"/>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49"/>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目  录</w:t>
      </w:r>
      <w:r/>
    </w:p>
    <w:p>
      <w:pPr>
        <w:pStyle w:val="777"/>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77"/>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第一章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投标邀请</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_Toc155796356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3</w:t>
      </w:r>
      <w:r>
        <w:rPr>
          <w:rFonts w:hint="eastAsia" w:ascii="宋体" w:hAnsi="宋体" w:eastAsia="宋体" w:cs="宋体"/>
          <w:color w:val="auto"/>
          <w:sz w:val="32"/>
          <w:highlight w:val="none"/>
        </w:rPr>
        <w:fldChar w:fldCharType="end"/>
      </w:r>
      <w:r/>
    </w:p>
    <w:p>
      <w:pPr>
        <w:pStyle w:val="777"/>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第二章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投标人须知</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_Toc155796357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7</w:t>
      </w:r>
      <w:r>
        <w:rPr>
          <w:rFonts w:hint="eastAsia" w:ascii="宋体" w:hAnsi="宋体" w:eastAsia="宋体" w:cs="宋体"/>
          <w:color w:val="auto"/>
          <w:sz w:val="32"/>
          <w:highlight w:val="none"/>
        </w:rPr>
        <w:fldChar w:fldCharType="end"/>
      </w:r>
      <w:r/>
    </w:p>
    <w:p>
      <w:pPr>
        <w:pStyle w:val="777"/>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第三章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合同文本</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23</w:t>
      </w:r>
      <w:r/>
    </w:p>
    <w:p>
      <w:pPr>
        <w:pStyle w:val="777"/>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第四章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采购需求</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44</w:t>
      </w:r>
      <w:r/>
    </w:p>
    <w:p>
      <w:pPr>
        <w:pStyle w:val="777"/>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第五章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评标方法与评标标准</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_Toc155796360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141</w:t>
      </w:r>
      <w:r>
        <w:rPr>
          <w:rFonts w:hint="eastAsia" w:ascii="宋体" w:hAnsi="宋体" w:eastAsia="宋体" w:cs="宋体"/>
          <w:color w:val="auto"/>
          <w:sz w:val="32"/>
          <w:highlight w:val="none"/>
        </w:rPr>
        <w:fldChar w:fldCharType="end"/>
      </w:r>
      <w:r/>
    </w:p>
    <w:p>
      <w:pPr>
        <w:pStyle w:val="777"/>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第六章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投标文件格式</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211</w:t>
      </w:r>
      <w:r/>
    </w:p>
    <w:p>
      <w:pPr>
        <w:ind w:left="0" w:right="0"/>
        <w:jc w:val="left"/>
        <w:pageBreakBefore w:val="0"/>
        <w:spacing w:line="49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rPr>
          <w:rFonts w:hint="eastAsia" w:ascii="宋体" w:hAnsi="宋体" w:eastAsia="宋体" w:cs="宋体"/>
          <w:color w:val="auto"/>
          <w:highlight w:val="none"/>
        </w:rPr>
        <w:br w:type="page" w:clear="all"/>
      </w:r>
      <w:r/>
    </w:p>
    <w:p>
      <w:pPr>
        <w:pStyle w:val="749"/>
        <w:ind w:left="0" w:right="0"/>
        <w:jc w:val="center"/>
        <w:pageBreakBefore w:val="0"/>
        <w:spacing w:before="0" w:after="0" w:line="490" w:lineRule="exact"/>
        <w:rPr>
          <w:rFonts w:hint="eastAsia" w:ascii="宋体" w:hAnsi="宋体" w:eastAsia="宋体" w:cs="宋体"/>
          <w:b w:val="0"/>
          <w:color w:val="auto"/>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bookmarkStart w:id="12" w:name="_Toc155796356"/>
      <w:r/>
      <w:r/>
    </w:p>
    <w:p>
      <w:pPr>
        <w:pStyle w:val="749"/>
        <w:ind w:left="0" w:right="0"/>
        <w:jc w:val="center"/>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第一章  投标邀请</w:t>
      </w:r>
      <w:bookmarkEnd w:id="12"/>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连云港开放大学</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华瑞国际工程咨询集团有限公司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连云港开放大学一体化综合管理平台（专门面向中小企业）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JSZC-320700-HRGJ-G2026-0013</w:t>
      </w:r>
      <w:r>
        <w:rPr>
          <w:rFonts w:hint="eastAsia" w:ascii="宋体" w:hAnsi="宋体" w:eastAsia="宋体" w:cs="宋体"/>
          <w:color w:val="auto"/>
          <w:sz w:val="24"/>
          <w:szCs w:val="24"/>
          <w:highlight w:val="none"/>
        </w:rPr>
        <w:t xml:space="preserve">）进行公开招标采购，欢迎符合条件的</w:t>
      </w:r>
      <w:r>
        <w:rPr>
          <w:rFonts w:hint="eastAsia" w:ascii="宋体" w:hAnsi="宋体" w:eastAsia="宋体" w:cs="宋体"/>
          <w:color w:val="auto"/>
          <w:sz w:val="24"/>
          <w:szCs w:val="24"/>
          <w:highlight w:val="none"/>
          <w:lang w:eastAsia="zh-CN"/>
        </w:rPr>
        <w:t xml:space="preserve">投标人参与投标</w:t>
      </w:r>
      <w:r>
        <w:rPr>
          <w:rFonts w:hint="eastAsia" w:ascii="宋体" w:hAnsi="宋体" w:eastAsia="宋体" w:cs="宋体"/>
          <w:color w:val="auto"/>
          <w:sz w:val="24"/>
          <w:szCs w:val="24"/>
          <w:highlight w:val="none"/>
        </w:rPr>
        <w:t xml:space="preserve">。</w:t>
      </w:r>
      <w:r/>
    </w:p>
    <w:tbl>
      <w:tblPr>
        <w:tblStyle w:val="791"/>
        <w:tblW w:w="9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4"/>
      </w:tblGrid>
      <w:tr>
        <w:trPr>
          <w:trHeight w:val="1564"/>
        </w:trPr>
        <w:tc>
          <w:tcPr>
            <w:tcW w:w="9174" w:type="dxa"/>
            <w:textDirection w:val="lrTb"/>
            <w:noWrap w:val="false"/>
          </w:tcPr>
          <w:p>
            <w:pPr>
              <w:ind w:left="0" w:righ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连云港开放大学一体化综合管理平台（专门面向中小企业）</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7 </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 31</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:00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rPr>
              <w:t xml:space="preserve">（北京时间）前递交（上传）投标文件。</w:t>
            </w:r>
            <w:r/>
          </w:p>
        </w:tc>
      </w:tr>
    </w:tbl>
    <w:p>
      <w:pPr>
        <w:pStyle w:val="750"/>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一、</w:t>
      </w:r>
      <w:r>
        <w:rPr>
          <w:rFonts w:hint="eastAsia" w:ascii="宋体" w:hAnsi="宋体" w:eastAsia="宋体" w:cs="宋体"/>
          <w:b/>
          <w:bCs w:val="0"/>
          <w:color w:val="auto"/>
          <w:sz w:val="28"/>
          <w:szCs w:val="28"/>
          <w:highlight w:val="none"/>
        </w:rPr>
        <w:t xml:space="preserve">项目基本情况</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项目编号：JSZC-320700-HRGJ-G2026-0013</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连云港开放大学一体化综合管理平台（专门面向中小企业）</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b w:val="0"/>
          <w:bCs w:val="0"/>
          <w:color w:val="auto"/>
          <w:sz w:val="24"/>
          <w:szCs w:val="24"/>
          <w:highlight w:val="none"/>
          <w:lang w:val="en-US" w:eastAsia="zh-CN"/>
        </w:rPr>
        <w:t xml:space="preserve">195.04万</w:t>
      </w:r>
      <w:r>
        <w:rPr>
          <w:rFonts w:hint="eastAsia" w:ascii="宋体" w:hAnsi="宋体" w:eastAsia="宋体" w:cs="宋体"/>
          <w:color w:val="auto"/>
          <w:sz w:val="24"/>
          <w:szCs w:val="24"/>
          <w:highlight w:val="none"/>
        </w:rPr>
        <w:t xml:space="preserve">元</w:t>
      </w:r>
      <w:bookmarkStart w:id="45" w:name="_GoBack"/>
      <w:r/>
      <w:bookmarkEnd w:id="45"/>
      <w:r/>
      <w:r/>
    </w:p>
    <w:p>
      <w:pPr>
        <w:ind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本项目设定最高限价，最高限价为143.04万元，投标报价超过最高限价的视为无效标。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本项目以整合校园内各类业务系统数据资源，对数据进行采集、计算、存储、加工，同时统一标准和口径，形成标准数据，再进行存储，全面梳理，确认来源流程，建立数据中心，解决“数据孤岛”问题，完成数据清洗与治理，实现数据归集和挖掘，为学校的办公、学管、教学、后勤提供方便快捷的信息服务，该项目建成后，服务校内教师生，校外社区教育、老年教育等在事务办理、学习、生活等方面一网通办；对于校园管理层面，解决数据孤岛、信息闭塞、数据流转等陈旧问题。并为决策提供数据支撑；</w:t>
      </w: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详见第四章采购需求。</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联系，由</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负责答复。</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日内完成供货、安装、调试、验收合格并交付使用</w:t>
      </w:r>
      <w:r>
        <w:rPr>
          <w:rFonts w:hint="eastAsia" w:ascii="宋体" w:hAnsi="宋体" w:eastAsia="宋体" w:cs="宋体"/>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rPr>
          <w:rFonts w:hint="eastAsia" w:ascii="宋体" w:hAnsi="宋体" w:eastAsia="宋体" w:cs="宋体"/>
          <w:color w:val="auto"/>
          <w:sz w:val="24"/>
          <w:szCs w:val="24"/>
          <w:highlight w:val="none"/>
          <w:lang w:eastAsia="zh-CN"/>
        </w:rPr>
        <w:t xml:space="preserve">。</w:t>
      </w:r>
      <w:r/>
    </w:p>
    <w:p>
      <w:pPr>
        <w:pStyle w:val="750"/>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二、</w:t>
      </w:r>
      <w:r>
        <w:rPr>
          <w:rFonts w:hint="eastAsia" w:ascii="宋体" w:hAnsi="宋体" w:eastAsia="宋体" w:cs="宋体"/>
          <w:b/>
          <w:bCs w:val="0"/>
          <w:color w:val="auto"/>
          <w:sz w:val="28"/>
          <w:szCs w:val="28"/>
          <w:highlight w:val="none"/>
        </w:rPr>
        <w:t xml:space="preserve">申请人的资格要求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满足《中华人民共和国政府采购法》第二十二条规定，并提供下列材料：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3.具有</w:t>
      </w:r>
      <w:r>
        <w:rPr>
          <w:rFonts w:hint="eastAsia" w:ascii="宋体" w:hAnsi="宋体" w:eastAsia="宋体" w:cs="宋体"/>
          <w:color w:val="auto"/>
          <w:sz w:val="24"/>
          <w:szCs w:val="24"/>
          <w:highlight w:val="none"/>
        </w:rPr>
        <w:t xml:space="preserve">依法缴纳税收和社会保障资金的相关材料；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i w:val="0"/>
          <w:color w:val="auto"/>
          <w:sz w:val="24"/>
          <w:szCs w:val="24"/>
          <w:highlight w:val="none"/>
          <w:u w:val="none"/>
        </w:rPr>
        <w:t xml:space="preserve">及证明材料</w:t>
      </w:r>
      <w:r>
        <w:rPr>
          <w:rFonts w:hint="eastAsia" w:ascii="宋体" w:hAnsi="宋体" w:eastAsia="宋体" w:cs="宋体"/>
          <w:color w:val="auto"/>
          <w:sz w:val="24"/>
          <w:szCs w:val="24"/>
          <w:highlight w:val="none"/>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参加政府采购活动前三年内在经营活动中没有重大违法记录的书面声明；</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根据连财购〔2023〕4号文件精神，第</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、3项可以提供《财务状况报告及税收、社会保障资金缴纳情况承诺函》，详见</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文件格式。</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p>
    <w:p>
      <w:pPr>
        <w:ind w:left="0" w:right="0" w:firstLine="480"/>
        <w:jc w:val="left"/>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本项目专门面向中型企业、小型企业、微型企业、残疾人福利性单位、监狱企业采购，符合要求的投标人须提供《中小企业声明函》（详见投标文件格式）或《残疾人福利性单位声明函》（详见投标文件格式）或属于监狱企业的证明文件，否则投标无效</w:t>
      </w:r>
      <w:r>
        <w:rPr>
          <w:rFonts w:hint="eastAsia" w:ascii="宋体" w:hAnsi="宋体" w:eastAsia="宋体" w:cs="宋体"/>
          <w:b/>
          <w:bCs/>
          <w:strike w:val="0"/>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）本项目的特定资格要求：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信用中国”网站（www.creditchina.gov.cn）查询，不存在被列入失信被执行人、重大税收违法失信主体名单、政府采购严重违法失信行为记录名单及其他不符合《中华人民共和国政府采购法》第二十二条规定条件的信用记录情形。（投标文件中无需提供证明材料）</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2.单位负责人为同一人或者存在直接控股、管理关系的不同投标人，不得参加同一合同项下的政府采购活动。</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3.若投标人法定代表人参与投标，则仅需提供法定代表人身份证；若授权代理人参与投标，则需提供企业法人委托书、授权人身份证、被授权人身份证</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4.本项目不接受进口产品（进口产品是指通过中国海关报关验放进入中国境内且产自关境外的产品）投标，中标后不允许分包或转包。</w:t>
      </w:r>
      <w:r/>
    </w:p>
    <w:p>
      <w:pPr>
        <w:pStyle w:val="750"/>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三、获取招标文件</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时间：自招标文件公告发布之日起</w:t>
      </w:r>
      <w:r>
        <w:rPr>
          <w:rFonts w:hint="eastAsia" w:ascii="宋体" w:hAnsi="宋体" w:eastAsia="宋体" w:cs="宋体"/>
          <w:color w:val="auto"/>
          <w:sz w:val="24"/>
          <w:szCs w:val="24"/>
          <w:highlight w:val="none"/>
          <w:lang w:val="en-US" w:eastAsia="zh-CN"/>
        </w:rPr>
        <w:t xml:space="preserve">5个工作日</w:t>
      </w:r>
      <w:r>
        <w:rPr>
          <w:rFonts w:hint="eastAsia" w:ascii="宋体" w:hAnsi="宋体" w:eastAsia="宋体" w:cs="宋体"/>
          <w:color w:val="auto"/>
          <w:sz w:val="24"/>
          <w:szCs w:val="24"/>
          <w:highlight w:val="none"/>
          <w:lang w:eastAsia="zh-CN"/>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方式：在“江苏政府采购网”自行免费下载招标文件。</w:t>
      </w:r>
      <w:r/>
    </w:p>
    <w:p>
      <w:pPr>
        <w:pStyle w:val="750"/>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四、提交投标文件截止时间、开标时间和地点</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1.提交投标文件截止时间：</w:t>
      </w:r>
      <w:r>
        <w:rPr>
          <w:rFonts w:hint="eastAsia" w:ascii="宋体" w:hAnsi="宋体" w:eastAsia="宋体" w:cs="宋体"/>
          <w:color w:val="auto"/>
          <w:sz w:val="24"/>
          <w:szCs w:val="24"/>
          <w:highlight w:val="none"/>
          <w:u w:val="none"/>
        </w:rPr>
        <w:t xml:space="preserve">202</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31</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none"/>
          <w:lang w:val="en-US" w:eastAsia="zh-CN"/>
        </w:rPr>
        <w:t xml:space="preserve">9点</w:t>
      </w:r>
      <w:r>
        <w:rPr>
          <w:rFonts w:hint="eastAsia" w:ascii="宋体" w:hAnsi="宋体" w:eastAsia="宋体" w:cs="宋体"/>
          <w:color w:val="auto"/>
          <w:sz w:val="24"/>
          <w:szCs w:val="24"/>
          <w:highlight w:val="none"/>
          <w:u w:val="none"/>
        </w:rPr>
        <w:t xml:space="preserve">00</w:t>
      </w:r>
      <w:r>
        <w:rPr>
          <w:rFonts w:hint="eastAsia" w:ascii="宋体" w:hAnsi="宋体" w:eastAsia="宋体" w:cs="宋体"/>
          <w:color w:val="auto"/>
          <w:sz w:val="24"/>
          <w:szCs w:val="24"/>
          <w:highlight w:val="none"/>
          <w:u w:val="none"/>
          <w:lang w:eastAsia="zh-CN"/>
        </w:rPr>
        <w:t xml:space="preserve">分</w:t>
      </w:r>
      <w:r>
        <w:rPr>
          <w:rFonts w:hint="eastAsia" w:ascii="宋体" w:hAnsi="宋体" w:eastAsia="宋体" w:cs="宋体"/>
          <w:color w:val="auto"/>
          <w:sz w:val="24"/>
          <w:szCs w:val="24"/>
          <w:highlight w:val="none"/>
        </w:rPr>
        <w:t xml:space="preserve">（北京时间）</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2.开标时间：同</w:t>
      </w:r>
      <w:r>
        <w:rPr>
          <w:rFonts w:hint="eastAsia" w:ascii="宋体" w:hAnsi="宋体" w:eastAsia="宋体" w:cs="宋体"/>
          <w:color w:val="auto"/>
          <w:sz w:val="24"/>
          <w:szCs w:val="24"/>
          <w:highlight w:val="none"/>
          <w:u w:val="none"/>
          <w:lang w:val="en-US" w:eastAsia="zh-CN"/>
        </w:rPr>
        <w:t xml:space="preserve">提交投标文件截止时间</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开标地点：“苏采云”政府采购交易系统网上开标大厅</w:t>
      </w:r>
      <w:r>
        <w:rPr>
          <w:rFonts w:hint="eastAsia" w:ascii="宋体" w:hAnsi="宋体" w:eastAsia="宋体" w:cs="宋体"/>
          <w:color w:val="auto"/>
          <w:sz w:val="24"/>
          <w:szCs w:val="24"/>
          <w:highlight w:val="none"/>
          <w:lang w:eastAsia="zh-CN"/>
        </w:rPr>
        <w:t xml:space="preserve">。</w:t>
      </w:r>
      <w:r/>
    </w:p>
    <w:p>
      <w:pPr>
        <w:pStyle w:val="750"/>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五、公告期限</w:t>
      </w:r>
      <w:r/>
    </w:p>
    <w:p>
      <w:pPr>
        <w:ind w:firstLine="48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color w:val="auto"/>
          <w:sz w:val="24"/>
          <w:szCs w:val="24"/>
          <w:highlight w:val="none"/>
        </w:rPr>
        <w:t xml:space="preserve">自本公告发布之日起5个工作日。</w:t>
      </w:r>
      <w:r/>
    </w:p>
    <w:p>
      <w:pPr>
        <w:ind w:firstLine="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六、其他补充事宜</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2.本招标文件中标注★号的部分为实质性要求和条件，由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根据实际情况设置，投标人须逐条明确作出满足实质性要求和条件的响应，否则将按无效响应处理。</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及其委托的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50"/>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七、对本次招标提出询问，请按以下方式联系</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连云港开放大学</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地址：连云港市海州区苍梧路39号</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华瑞国际工程咨询集团有限公司</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地址：连云港市海州区海连东路9号商务大厦15楼</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朱工</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联系电话：15251212583</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赵老师</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rPr>
        <w:t xml:space="preserve">：0518-85820319</w:t>
      </w:r>
      <w:r/>
    </w:p>
    <w:p>
      <w:pPr>
        <w:ind w:left="0" w:right="0"/>
        <w:jc w:val="left"/>
        <w:pageBreakBefore w:val="0"/>
        <w:spacing w:line="490" w:lineRule="exact"/>
        <w:widowControl/>
        <w:rPr>
          <w:rFonts w:hint="eastAsia" w:ascii="宋体" w:hAnsi="宋体" w:eastAsia="宋体" w:cs="宋体"/>
          <w:bCs/>
          <w:color w:val="auto"/>
          <w:sz w:val="44"/>
          <w:szCs w:val="44"/>
          <w:highlight w:val="none"/>
        </w:rPr>
      </w:pPr>
      <w:r/>
      <w:bookmarkStart w:id="13" w:name="_Toc155796357"/>
      <w:r>
        <w:rPr>
          <w:rFonts w:hint="eastAsia" w:ascii="宋体" w:hAnsi="宋体" w:eastAsia="宋体" w:cs="宋体"/>
          <w:b/>
          <w:color w:val="auto"/>
          <w:highlight w:val="none"/>
        </w:rPr>
        <w:br w:type="page" w:clear="all"/>
      </w:r>
      <w:r/>
    </w:p>
    <w:p>
      <w:pPr>
        <w:pStyle w:val="749"/>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第二章  投标人须知</w:t>
      </w:r>
      <w:bookmarkEnd w:id="13"/>
      <w:r/>
      <w:r/>
    </w:p>
    <w:p>
      <w:pPr>
        <w:pStyle w:val="750"/>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一、总则</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1、采购方式</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2、合格的投标人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3、适用法律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投标人应自行承担所有与参与投标有关的费用，无论投标过程中的做法和结果如何，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华瑞国际工程咨询集团有限公司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）在任何情况下均无义务和责任承担这些费用。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本次招标代理费按照计价格【2002】1980号文收费标准的26.36%计取。上述费用由中标单位在领取中标通知书时一次性支付，投标单位须将此部分费用综合考虑在投标报价中，不得单列。</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pStyle w:val="750"/>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二、招标文件</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7、招标文件的澄清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任何要求对招标文件进行澄清的投标人，应在投标截止时间十日前按招标公告中的通讯地址，以书面形式通知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可以对招标文件进行修改。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有权按照法定的要求推迟投标截止时间和开标时间。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750"/>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三、投标文件编制</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9、投标文件编写注意事项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对招标文件提出的实质性要求和条件作出响应是指投标人必须对招标文件中标明实质性要求和条件的技术参数等内容逐条作出满足原要求和条件的响应。</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10、投标文件的语言及度量衡单位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11、投标文件的构成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12、证明投标人及投标标的符合招标文件规定的文件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751"/>
        <w:ind w:left="0" w:right="0" w:firstLine="562"/>
        <w:jc w:val="left"/>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13、投标分项报价表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（1）投标的货物总价；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（2）货物的标准附件、备品备件、专用工具、运输、装卸等各种费用；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（3）必要的保险费用和各项税金；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（4）投标总价要求包含安装维保费用。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投标人应根据投标报价要求在投标分项报价表中列明各项投标单价、总价等，未全部列示的作无效响应处理。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投标文件中的单价和总价无特殊规定的采用人民币报价，以元为单位标注。招标文件中另有规定的按规定执行。</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14、技术要求响应及偏离表、商务要求响应及偏离表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15、服务承诺、培训计划、人员安排及其他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投标人应根据招标文件要求提供培训计划、人员安排等。</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16、投标函和开标一览表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17、投标有效期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50"/>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四、投标文件递交</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18、电子投标文件的递交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20、投标文件的拒收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拒绝接收在招标文件规定的投标截止时间后递交（上传）的任何投标文件。</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21、投标文件的撤回和修改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在投标截止时间至招标文件规定的投标有效期满之间的这段时间内，投标人不得撤回其投标。</w:t>
      </w:r>
      <w:r/>
    </w:p>
    <w:p>
      <w:pPr>
        <w:pStyle w:val="750"/>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五、开标与评标</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22、开标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及评委会联系。</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23、评标委员会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将组织评委会进行评标。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代表和有关技术、经济等方面的评审专家组成，且人员构成符合政府采购有关规定。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规定的评审程序、评审方法和评审标准进行独立评审并确定中标候选人。</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24、评标过程的保密与公正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、评审专家、</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均不得向投标人或与评标无关的其他人员透露。</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25、投标文件的澄清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进行澄清、说明或者补正的，评委会将通过“苏采云”系统向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出“澄清要求函”，接到“澄清要求函”的投标人应当按照要求在“苏采云”系统中提交“澄清响应函”，并加盖CA电子公章。澄清、说明或者补正的内容作为投标文件的补充部分，具体操作方法见《操作手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接到评委会澄清、说明或者补正要求的投标人如未按要求响应，其风险由投标人自行承担。</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26、对投标文件的初审</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依据法律法规和招标文件的规定，对投标文件中的资格证明文件进行审查。资格审查的结论，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以书面形式向评委会进行反馈。</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在进行资格审查的同时，将在信用中国网站查询投标人的信用记录，以确定投标人是否具备投标资格，查询结果留存并归档。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的身份共同参与政府采购活动的，联合体成员中任何一方存在不良信用记录的，视同联合体存在不良信用记录。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ind w:left="0" w:right="-315"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26.7 异常低价投标审查</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（一）政府采购评审中出现下列情形之一的，评审委员会应当启动异常低价投标审查程序：</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1.投标报价低于全部通过符合性审查供应商投标报价平均值65%的，即投标报价&lt;全部通过符合性审查供应商投标报价平均值×65%；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2.投标报价低于通过符合性审查的次低报价供应商投标报价65%的，即投标报价&lt;通过符合性审查的次低报价供应商投标报价×65%；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3.投标报价低于采购项目最高限价65%的，即投标报价&lt;采购项目最高限价×65%；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27、无效投标条款和废标条款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 投标人在苏采云系统规定的时间内未成功解密电子投标文件的。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.1.2 投标人未按照招标文件要求上传电子投标文件的。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.1.3 投标人同一采购包提交两个（含两个）以上不同的投标报价的。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.1.4投标人不具备招标文件中规定资格要求的。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.1.5投标人的报价超过了采购预算或最高限价的。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.1.6未通过符合性审查的。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.1.7不符合招标文件中规定的实质性要求的（本招标文件中斜体且有下划线部分或加★号条款为实质性要求）</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.1.8 投标人被 “信用中国”网站列入失信被执行人、重大税收违法失信主体名单、政府采购严重违法失信行为记录名单。或查询“信用中国”网站后发现投标人存在其他不符合《中华人民共和国政府采购法》第二十二条规定条件的信用记录。</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.1.9 投标文件含有</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不能接受的附加条件的。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.1.10 评标委员会按照本招标文件规定对投标人进行异常低价投标审查后，认为投标人不能证明其报价合理性的。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.1.12 投标文件未按照招标文件要求加盖CA电子公章的。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.1.13 投标人所投标产品不符合招标文件中所列国家强制性标准的。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.1.14其他法律、法规及本招标文件规定的属无效投标的情形。</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或者对招标文件作实质响应的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或者在评标期间对招标文件做出实质响应的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不足三家情况的，按照政府采购有关规定执行。</w:t>
      </w:r>
      <w:r/>
    </w:p>
    <w:p>
      <w:pPr>
        <w:pStyle w:val="750"/>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六、定标</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28、确定中标单位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应根据评委会推荐的中标候选人确定中标人。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、采购中心行贿或者提供其他不正当利益的。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（3）属于本文件规定的无效条件，但在评标过程中又未被评委会发现的。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或者其他供应商恶意串通的。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（5）采取不正当手段诋毁、排挤其他供应商的。</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29、中标通知书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和中标人均具有法律效力。中标通知书发出后，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改变中标结果的，或者中标人放弃中标项目的，应当依法承担法律责任。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中标人应在中标后七个工作日内，向</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提供一份与电子投标文件一致的纸质打印胶装投标文件</w:t>
      </w:r>
      <w:r>
        <w:rPr>
          <w:rFonts w:hint="eastAsia" w:ascii="宋体" w:hAnsi="宋体" w:eastAsia="宋体" w:cs="宋体"/>
          <w:color w:val="auto"/>
          <w:sz w:val="24"/>
          <w:szCs w:val="24"/>
          <w:highlight w:val="none"/>
          <w:lang w:eastAsia="zh-CN"/>
        </w:rPr>
        <w:t xml:space="preserve">（一正二副）</w:t>
      </w:r>
      <w:r>
        <w:rPr>
          <w:rFonts w:hint="eastAsia" w:ascii="宋体" w:hAnsi="宋体" w:eastAsia="宋体" w:cs="宋体"/>
          <w:color w:val="auto"/>
          <w:sz w:val="24"/>
          <w:szCs w:val="24"/>
          <w:highlight w:val="none"/>
        </w:rPr>
        <w:t xml:space="preserve">，封面、骑缝需加盖公章。</w:t>
      </w:r>
      <w:r/>
    </w:p>
    <w:p>
      <w:pPr>
        <w:pStyle w:val="750"/>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七、授予合同</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30、签订合同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中标人应当在中标通知书发出之日起三十日内，按照招标文件和中标人投标文件的规定，与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签订政府采购合同。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应当在合同签订后2</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日内上传合同至苏采云公示。</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31、合同标的的追加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政府采购合同履行中，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需追加与合同标的相同的货物、工程或者服务的，在不改变合同其他条款的前提下，可以按照《中华人民共和国政府采购法》第四十九条规定，与</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协商签订补充合同，但所有补充合同的采购金额不得超过原合同采购金额的百分之十。</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32、政府采购履约资金扶持政策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中标人可凭政府采购合同办理融资贷款，详情请见江苏政府采购网“政采贷”专栏。</w:t>
      </w:r>
      <w:r/>
    </w:p>
    <w:p>
      <w:pPr>
        <w:pStyle w:val="750"/>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八、询问与质疑</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33、询问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对政府采购活动事项有疑问的，可以提出询问，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提出的询问超出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应当告知其向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34、质疑提出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提出质疑的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、采购过程、采购结果使自己的权益受到损害的，可以在知道或者应知其权益受到损害之日（获取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之日、中标公告发布之日）起七个工作日内以书面形式向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提出质疑。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应当在法定质疑期内一次性提出针对同一采购程序环节的质疑，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如在法定期限内对同一采购程序环节提出多次质疑的，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将只对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第一次质疑作出答复。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，视为未参与该项目采购活动，不具备对该</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提出质疑的法定权利。</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提出质疑时，必须坚持“实事求是”的原则，不能臆测。属于须由法定部门调查、侦查或先行作出相关认定的事项，质疑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应当依法申请具有法定职权的部门查清、认定，并将相关结果提供给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不具有法定调查、认定权限。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 质疑函的接收方式为</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书面原件提交。联系部门、联系电话和通讯地址详见招标文件第一章。质疑实行实名制，不得进行虚假、恶意质疑。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34.5 质疑函应当使用范本，详见招标文件第六章。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提出质疑应当提交质疑函和必要的证明材料，应当包括下列内容：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的姓名或者名称、地址、邮编、联系人及联系电话；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为法人或者其他组织的，应当由法定代表人、主要负责人，或者其委托代理人签字或者盖章，并加盖单位公章。</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35、质疑函的受理和答复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不负责搜集必要的证明材料等工作。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对符合法定要求的质疑，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接收并登记《质疑函登记表》。在处理过程中，发现需要质疑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进一步补充必要的证明材料的，质疑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应在法定的时间内提供，质疑答复时间相应顺延。质疑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不能按时提供必要的证明材料的，视同放弃质疑。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对不符合质疑要求的，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有权要求其补充必要的证明材料，质疑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未在法定时间内补充必要的证明材料的，视同放弃质疑。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以下情形的质疑依法不予受理：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组成联合体，联合体中任何一方或多方未按要求签字（盖章）、加盖公章的质疑。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依法受理的质疑，将按照政府采购有关规定，在法定期限内作出答复。</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36、质疑处理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未按照法定程序进行质疑投诉的，视为一般失信行为。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不配合或者采取不正当手段干扰政府采购质疑、投诉处理工作的，视为一般失信行为。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投诉受理期间，就同一事项多头举报，干扰财政部门投诉处理的，视为一般失信行为。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在全国范围12个月内三次以上质疑查无实据的，视为一般失信行为。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36.6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在全国范围12个月内三次以上投诉查无实据的，视为严重失信行为。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36.7 未尽事宜，依照有关法律、法规执行。</w:t>
      </w:r>
      <w:r/>
    </w:p>
    <w:p>
      <w:pPr>
        <w:pStyle w:val="750"/>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九、政府采购政策功能</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37、促进中小企业发展</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37.2 参加本项目政府采购活动的供应商应当提供的材料： </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（1）投标人提供的货物全部由中型企业、小型企业、微型企业制造的，提供《中小企业声明函》（第六章 投标文件格式）。</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szCs w:val="24"/>
          <w:highlight w:val="none"/>
        </w:rPr>
        <w:t xml:space="preserve">。</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38、采购本国产品的支持政策</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 </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38.3 投标人需按照招标文件的要求提供《关于符合本国产品标准的声明函》（以下简称《声明函》），如不提供将不享受本国产品价格评审优惠。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38.4 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38.6政府采购中的本国产品标准及其他未尽事宜详见《国务院办公厅关于在政府采购中实施本国产品标准及相关政策的通知》（国办发〔2025〕34号）。</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、支持绿色发展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1.本项目执行《关于印发环境标志产品政府采购品目清单的通知》（财库〔2019〕18 号）、《关于印发节能产品政府采购品目清单的通知》（财库〔2019〕19 号）等有关规定，</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40</w:t>
      </w:r>
      <w:r>
        <w:rPr>
          <w:rFonts w:hint="eastAsia" w:ascii="宋体" w:hAnsi="宋体" w:eastAsia="宋体" w:cs="宋体"/>
          <w:color w:val="auto"/>
          <w:sz w:val="28"/>
          <w:szCs w:val="28"/>
          <w:highlight w:val="none"/>
        </w:rPr>
        <w:t xml:space="preserve">、政府采购需求标准</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.1 本项目执行《绿色数据中心政府采购</w:t>
      </w:r>
      <w:r>
        <w:rPr>
          <w:rFonts w:hint="eastAsia" w:ascii="宋体" w:hAnsi="宋体" w:eastAsia="宋体" w:cs="宋体"/>
          <w:color w:val="auto"/>
          <w:sz w:val="24"/>
          <w:szCs w:val="24"/>
          <w:highlight w:val="none"/>
        </w:rPr>
        <w:t xml:space="preserve">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w:t>
      </w:r>
      <w:r/>
    </w:p>
    <w:p>
      <w:pPr>
        <w:pStyle w:val="751"/>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41、解释权</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本招标文件是参照《中华人民共和国政府采购法》、《中华人民共和国政府采购法实施条例》、《政府采购货物和服务招标投标管理办法》及相关法律法规编制，解释权属采购人。</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政府采购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宋体" w:hAnsi="宋体" w:eastAsia="宋体" w:cs="宋体"/>
          <w:color w:val="auto"/>
          <w:sz w:val="24"/>
          <w:szCs w:val="24"/>
          <w:highlight w:val="none"/>
        </w:rPr>
        <w:br w:type="page" w:clear="all"/>
      </w:r>
      <w:r/>
    </w:p>
    <w:p>
      <w:pPr>
        <w:pStyle w:val="749"/>
        <w:ind w:left="0" w:right="0"/>
        <w:jc w:val="center"/>
        <w:pageBreakBefore w:val="0"/>
        <w:spacing w:before="0" w:after="0" w:line="490" w:lineRule="exact"/>
        <w:rPr>
          <w:rFonts w:hint="eastAsia" w:ascii="宋体" w:hAnsi="宋体" w:eastAsia="宋体" w:cs="宋体"/>
          <w:b w:val="0"/>
          <w:color w:val="auto"/>
          <w:highlight w:val="none"/>
        </w:rPr>
      </w:pPr>
      <w:r/>
      <w:bookmarkStart w:id="14" w:name="_Toc165205796"/>
      <w:r/>
      <w:bookmarkStart w:id="15" w:name="_Toc155796359"/>
      <w:r>
        <w:rPr>
          <w:rFonts w:hint="eastAsia" w:ascii="宋体" w:hAnsi="宋体" w:eastAsia="宋体" w:cs="宋体"/>
          <w:b w:val="0"/>
          <w:color w:val="auto"/>
          <w:highlight w:val="none"/>
        </w:rPr>
        <w:t xml:space="preserve">第三章  合同文本</w:t>
      </w:r>
      <w:bookmarkEnd w:id="14"/>
      <w:r/>
      <w:r/>
    </w:p>
    <w:p>
      <w:pPr>
        <w:pStyle w:val="766"/>
        <w:ind w:left="0" w:right="0"/>
        <w:jc w:val="center"/>
        <w:pageBreakBefore w:val="0"/>
        <w:spacing w:after="0" w:line="490" w:lineRule="exact"/>
        <w:rPr>
          <w:rFonts w:hint="eastAsia" w:ascii="宋体" w:hAnsi="宋体" w:eastAsia="宋体" w:cs="宋体"/>
          <w:b/>
          <w:bCs/>
          <w:color w:val="auto"/>
          <w:spacing w:val="-20"/>
          <w:sz w:val="48"/>
          <w:szCs w:val="48"/>
          <w:highlight w:val="none"/>
        </w:rPr>
      </w:pPr>
      <w:r/>
      <w:bookmarkStart w:id="16" w:name="_Toc3995"/>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bookmarkEnd w:id="16"/>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br w:type="page" w:clear="all"/>
      </w:r>
      <w:r/>
    </w:p>
    <w:p>
      <w:pPr>
        <w:ind w:left="0" w:right="0"/>
        <w:jc w:val="center"/>
        <w:pageBreakBefore w:val="0"/>
        <w:spacing w:after="0" w:line="490" w:lineRule="exact"/>
        <w:widowControl w:val="off"/>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政府采购货物合同</w:t>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项目名称：</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甲方：</w:t>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乙方：</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w:t>
      </w:r>
      <w:r/>
    </w:p>
    <w:p>
      <w:pPr>
        <w:ind w:left="0" w:right="0"/>
        <w:jc w:val="left"/>
        <w:pageBreakBefore w:val="0"/>
        <w:spacing w:line="49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第一节 政府采购合同协议书</w:t>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甲方（全称）：</w:t>
      </w:r>
      <w:r>
        <w:rPr>
          <w:rFonts w:hint="eastAsia" w:ascii="宋体" w:hAnsi="宋体" w:eastAsia="宋体" w:cs="宋体"/>
          <w:color w:val="auto"/>
          <w:sz w:val="24"/>
          <w:szCs w:val="24"/>
          <w:highlight w:val="none"/>
          <w:u w:val="single"/>
          <w:lang w:val="en-US" w:eastAsia="zh-CN" w:bidi="ar-SA"/>
        </w:rPr>
        <w:t xml:space="preserve">                        </w:t>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乙方（全称）：</w:t>
      </w:r>
      <w:r>
        <w:rPr>
          <w:rFonts w:hint="eastAsia" w:ascii="宋体" w:hAnsi="宋体" w:eastAsia="宋体" w:cs="宋体"/>
          <w:color w:val="auto"/>
          <w:sz w:val="24"/>
          <w:szCs w:val="24"/>
          <w:highlight w:val="none"/>
          <w:u w:val="single"/>
          <w:lang w:val="en-US" w:eastAsia="zh-CN" w:bidi="ar-SA"/>
        </w:rPr>
        <w:t xml:space="preserve">                       </w:t>
      </w:r>
      <w:r/>
    </w:p>
    <w:p>
      <w:p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依据《中华人民共和国民法典》、《中华人民共和国政府采购法》等有关的法律法规，以及</w:t>
      </w:r>
      <w:r>
        <w:rPr>
          <w:rFonts w:hint="eastAsia" w:ascii="宋体" w:hAnsi="宋体" w:eastAsia="宋体" w:cs="宋体"/>
          <w:i w:val="0"/>
          <w:iCs w:val="0"/>
          <w:color w:val="auto"/>
          <w:sz w:val="24"/>
          <w:szCs w:val="24"/>
          <w:highlight w:val="none"/>
          <w:u w:val="none"/>
          <w:lang w:val="en-US" w:eastAsia="zh-CN" w:bidi="ar-SA"/>
        </w:rPr>
        <w:t xml:space="preserve">本采购项目</w:t>
      </w:r>
      <w:r>
        <w:rPr>
          <w:rFonts w:hint="eastAsia" w:ascii="宋体" w:hAnsi="宋体" w:eastAsia="宋体" w:cs="宋体"/>
          <w:color w:val="auto"/>
          <w:sz w:val="24"/>
          <w:szCs w:val="24"/>
          <w:highlight w:val="none"/>
          <w:lang w:val="en-US" w:eastAsia="zh-CN" w:bidi="ar-SA"/>
        </w:rPr>
        <w:t xml:space="preserve">的招标文件、乙方的《投标文件》及《中标通知书》，甲乙双方同意签订本合同。具体情况及要求如下：     </w:t>
      </w:r>
      <w:r/>
    </w:p>
    <w:p>
      <w:pPr>
        <w:numPr>
          <w:ilvl w:val="0"/>
          <w:numId w:val="0"/>
        </w:numPr>
        <w:ind w:left="0"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1.项目信息</w:t>
      </w:r>
      <w:r/>
    </w:p>
    <w:p>
      <w:pPr>
        <w:numPr>
          <w:ilvl w:val="0"/>
          <w:numId w:val="0"/>
        </w:num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（1）采购项目名称：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采购项目编号：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（2）采购计划编号：</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（3）项目内容：</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采购标的及数量（台/套</w:t>
      </w:r>
      <w:r>
        <w:rPr>
          <w:rFonts w:hint="eastAsia" w:ascii="宋体" w:hAnsi="宋体" w:eastAsia="宋体" w:cs="宋体"/>
          <w:color w:val="auto"/>
          <w:sz w:val="24"/>
          <w:szCs w:val="24"/>
          <w:highlight w:val="none"/>
          <w:lang w:val="en" w:eastAsia="zh-CN" w:bidi="ar-SA"/>
        </w:rPr>
        <w:t xml:space="preserve">/个/架/组等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 w:eastAsia="zh-CN" w:bidi="ar-SA"/>
        </w:rPr>
      </w:pP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lang w:val="en-US" w:eastAsia="zh-CN" w:bidi="ar-SA"/>
        </w:rPr>
        <w:t xml:space="preserve">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采购标的的技术要求、商务要求具体见附件。</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①涉及信息类产品，请填写该产品关键部件的品牌、型号：</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标的名称：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②涉及车辆采购，请填写是否属于新能源汽车：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数量：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4</w:t>
      </w:r>
      <w:r>
        <w:rPr>
          <w:rFonts w:hint="eastAsia" w:ascii="宋体" w:hAnsi="宋体" w:eastAsia="宋体" w:cs="宋体"/>
          <w:iCs w:val="0"/>
          <w:color w:val="auto"/>
          <w:sz w:val="24"/>
          <w:szCs w:val="24"/>
          <w:highlight w:val="none"/>
          <w:lang w:val="en-US" w:eastAsia="zh-CN" w:bidi="ar-SA"/>
        </w:rPr>
        <w:t xml:space="preserve">）政府采购组织形式：</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政府集中采购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部门集中采购  </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分散采购</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5</w:t>
      </w:r>
      <w:r>
        <w:rPr>
          <w:rFonts w:hint="eastAsia" w:ascii="宋体" w:hAnsi="宋体" w:eastAsia="宋体" w:cs="宋体"/>
          <w:iCs w:val="0"/>
          <w:color w:val="auto"/>
          <w:sz w:val="24"/>
          <w:szCs w:val="24"/>
          <w:highlight w:val="none"/>
          <w:lang w:val="en-US" w:eastAsia="zh-CN" w:bidi="ar-SA"/>
        </w:rPr>
        <w:t xml:space="preserve">）政府采购方式：</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公开招标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邀请招标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竞争性谈判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竞争性磋商</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询价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单一来源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框架协议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其他：</w:t>
      </w:r>
      <w:r>
        <w:rPr>
          <w:rFonts w:hint="eastAsia" w:ascii="宋体" w:hAnsi="宋体" w:eastAsia="宋体" w:cs="宋体"/>
          <w:iCs w:val="0"/>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本合同是否为专门面向中小企业的采</w:t>
      </w:r>
      <w:r>
        <w:rPr>
          <w:rFonts w:hint="eastAsia" w:ascii="宋体" w:hAnsi="宋体" w:eastAsia="宋体" w:cs="宋体"/>
          <w:color w:val="auto"/>
          <w:sz w:val="24"/>
          <w:szCs w:val="24"/>
          <w:highlight w:val="none"/>
          <w:shd w:val="clear" w:color="auto"/>
          <w:lang w:val="en-US" w:eastAsia="zh-CN" w:bidi="ar-SA"/>
        </w:rPr>
        <w:t xml:space="preserve">购合同（中小企业预留合同）</w:t>
      </w:r>
      <w:r>
        <w:rPr>
          <w:rFonts w:hint="eastAsia" w:ascii="宋体" w:hAnsi="宋体" w:eastAsia="宋体" w:cs="宋体"/>
          <w:color w:val="auto"/>
          <w:sz w:val="24"/>
          <w:szCs w:val="24"/>
          <w:highlight w:val="none"/>
          <w:shd w:val="clear" w:color="auto"/>
          <w:lang w:val="en-US" w:eastAsia="zh-CN" w:bidi="ar-SA"/>
        </w:rPr>
        <w:t xml:space="preserve">：</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若本项目不专门面向中小企业采购，是否给予小微企业评审优惠：</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中标（成交）采购标的制造商是否为残疾人福利性单位：</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中标（成交）采购标的制造商是否为监狱企业：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7</w:t>
      </w:r>
      <w:r>
        <w:rPr>
          <w:rFonts w:hint="eastAsia" w:ascii="宋体" w:hAnsi="宋体" w:eastAsia="宋体" w:cs="宋体"/>
          <w:color w:val="auto"/>
          <w:sz w:val="24"/>
          <w:szCs w:val="24"/>
          <w:highlight w:val="none"/>
          <w:lang w:val="en-US" w:eastAsia="zh-CN" w:bidi="ar-SA"/>
        </w:rPr>
        <w:t xml:space="preserve">）合同是否分包：</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þ</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分包主要内容：</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分包供应商/制造商名称（如供应商和制造商不同，请分别填写）：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分包供应商/制造商类型（如果供应商和制造商不同，只填写制造商类型）：</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大型企业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中型企业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小微型企业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残疾人福利性单位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监狱企业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其他</w:t>
      </w:r>
      <w:r/>
    </w:p>
    <w:p>
      <w:pPr>
        <w:numPr>
          <w:ilvl w:val="0"/>
          <w:numId w:val="0"/>
        </w:numPr>
        <w:ind w:left="15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（8）</w:t>
      </w:r>
      <w:r>
        <w:rPr>
          <w:rFonts w:hint="eastAsia" w:ascii="宋体" w:hAnsi="宋体" w:eastAsia="宋体" w:cs="宋体"/>
          <w:color w:val="auto"/>
          <w:sz w:val="24"/>
          <w:szCs w:val="24"/>
          <w:highlight w:val="none"/>
          <w:u w:val="none"/>
          <w:lang w:val="en-US" w:eastAsia="zh-CN" w:bidi="ar-SA"/>
        </w:rPr>
        <w:t xml:space="preserve">中标（成交）供应商是否为外商投资企业：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外商投资企业类型：</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全部由外国投资者投资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部分由外国投资者投资</w:t>
      </w:r>
      <w:r/>
    </w:p>
    <w:p>
      <w:pPr>
        <w:numPr>
          <w:ilvl w:val="0"/>
          <w:numId w:val="0"/>
        </w:numPr>
        <w:ind w:left="150" w:firstLine="480"/>
        <w:keepLines w:val="0"/>
        <w:keepNext w:val="0"/>
        <w:pageBreakBefore w:val="0"/>
        <w:spacing w:line="360" w:lineRule="auto"/>
        <w:tabs>
          <w:tab w:val="left" w:pos="13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u w:val="none"/>
          <w:lang w:val="en-US" w:eastAsia="zh-CN" w:bidi="ar-SA"/>
        </w:rPr>
        <w:t xml:space="preserve">是否涉及进口产品：</w:t>
      </w:r>
      <w:r/>
    </w:p>
    <w:p>
      <w:pPr>
        <w:numPr>
          <w:ilvl w:val="0"/>
          <w:numId w:val="0"/>
        </w:numPr>
        <w:ind w:left="0" w:firstLine="720"/>
        <w:keepLines w:val="0"/>
        <w:keepNext w:val="0"/>
        <w:pageBreakBefore w:val="0"/>
        <w:spacing w:line="360" w:lineRule="auto"/>
        <w:tabs>
          <w:tab w:val="left" w:pos="1340" w:leader="none"/>
        </w:tabs>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国别：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ind w:left="0" w:firstLine="72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（1</w:t>
      </w:r>
      <w:r>
        <w:rPr>
          <w:rFonts w:hint="eastAsia" w:ascii="宋体" w:hAnsi="宋体" w:eastAsia="宋体" w:cs="宋体"/>
          <w:b w:val="0"/>
          <w:bCs w:val="0"/>
          <w:color w:val="auto"/>
          <w:sz w:val="24"/>
          <w:szCs w:val="24"/>
          <w:highlight w:val="none"/>
          <w:u w:val="none"/>
          <w:lang w:val="en" w:eastAsia="zh-CN" w:bidi="ar-SA"/>
        </w:rPr>
        <w:t xml:space="preserve">0</w:t>
      </w:r>
      <w:r>
        <w:rPr>
          <w:rFonts w:hint="eastAsia" w:ascii="宋体" w:hAnsi="宋体" w:eastAsia="宋体" w:cs="宋体"/>
          <w:b w:val="0"/>
          <w:bCs w:val="0"/>
          <w:color w:val="auto"/>
          <w:sz w:val="24"/>
          <w:szCs w:val="24"/>
          <w:highlight w:val="none"/>
          <w:u w:val="none"/>
          <w:lang w:val="en-US" w:eastAsia="zh-CN" w:bidi="ar-SA"/>
        </w:rPr>
        <w:t xml:space="preserve">）是否涉及节能产品：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是，《节能产品政府采购品目清单》的底级品目名称：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是否涉及环境标志产品：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是，《环境标志产品政府采购品目清单》的底级品目名称：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是否涉及绿色产品：</w:t>
      </w:r>
      <w:r>
        <w:rPr>
          <w:rFonts w:hint="eastAsia" w:ascii="宋体" w:hAnsi="宋体" w:eastAsia="宋体" w:cs="宋体"/>
          <w:iCs w:val="0"/>
          <w:color w:val="auto"/>
          <w:sz w:val="24"/>
          <w:szCs w:val="24"/>
          <w:highlight w:val="none"/>
          <w:u w:val="none"/>
          <w:lang w:val="en-US" w:eastAsia="zh-CN" w:bidi="ar-SA"/>
        </w:rPr>
        <w:t xml:space="preserve"> </w:t>
      </w:r>
      <w:r/>
    </w:p>
    <w:p>
      <w:pPr>
        <w:ind w:left="0" w:firstLine="720"/>
        <w:keepLines w:val="0"/>
        <w:keepNext w:val="0"/>
        <w:pageBreakBefore w:val="0"/>
        <w:spacing w:line="360" w:lineRule="auto"/>
        <w:rPr>
          <w:rFonts w:hint="eastAsia" w:ascii="宋体" w:hAnsi="宋体" w:eastAsia="宋体" w:cs="宋体"/>
          <w:color w:val="auto"/>
          <w:sz w:val="24"/>
          <w:szCs w:val="24"/>
          <w:highlight w:val="none"/>
          <w:u w:val="singl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是，绿色产品政府采购相关政策确定的底级品目名称：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ind w:left="0" w:firstLine="720"/>
        <w:keepLines w:val="0"/>
        <w:keepNext w:val="0"/>
        <w:pageBreakBefore w:val="0"/>
        <w:spacing w:line="360" w:lineRule="auto"/>
        <w:rPr>
          <w:rFonts w:hint="eastAsia" w:ascii="宋体" w:hAnsi="宋体" w:eastAsia="宋体" w:cs="宋体"/>
          <w:iCs w:val="0"/>
          <w:color w:val="auto"/>
          <w:sz w:val="24"/>
          <w:szCs w:val="24"/>
          <w:highlight w:val="none"/>
          <w:u w:val="non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否</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 w:eastAsia="zh-CN" w:bidi="ar-SA"/>
        </w:rPr>
        <w:t xml:space="preserve">1</w:t>
      </w:r>
      <w:r>
        <w:rPr>
          <w:rFonts w:hint="eastAsia" w:ascii="宋体" w:hAnsi="宋体" w:eastAsia="宋体" w:cs="宋体"/>
          <w:color w:val="auto"/>
          <w:sz w:val="24"/>
          <w:szCs w:val="24"/>
          <w:highlight w:val="none"/>
          <w:lang w:val="en-US" w:eastAsia="zh-CN" w:bidi="ar-SA"/>
        </w:rPr>
        <w:t xml:space="preserve">）涉及商品包装和快递包装的，是否参考《商品包装政府采购需求标准（试行）》、《快递包装政府采购需求标准（试行）》明确产品及相关快递服务的具体包装要求：</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不涉及</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2.合同金额</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（1）合同金额小写：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大写：</w:t>
      </w:r>
      <w:r>
        <w:rPr>
          <w:rFonts w:hint="eastAsia" w:ascii="宋体" w:hAnsi="宋体" w:eastAsia="宋体" w:cs="宋体"/>
          <w:color w:val="auto"/>
          <w:sz w:val="24"/>
          <w:szCs w:val="24"/>
          <w:highlight w:val="none"/>
          <w:u w:val="single"/>
          <w:lang w:val="en-US" w:eastAsia="zh-CN" w:bidi="ar-SA"/>
        </w:rPr>
        <w:t xml:space="preserve">                           </w:t>
      </w:r>
      <w:r/>
    </w:p>
    <w:p>
      <w:pPr>
        <w:ind w:firstLine="480"/>
        <w:keepLines w:val="0"/>
        <w:keepNext w:val="0"/>
        <w:pageBreakBefore w:val="0"/>
        <w:spacing w:before="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（2）合同定价方式：</w:t>
      </w:r>
      <w:r>
        <w:rPr>
          <w:rFonts w:ascii="Wingdings 2" w:hAnsi="Wingdings 2" w:eastAsia="Wingdings 2" w:cs="Wingdings 2"/>
          <w:b/>
          <w:bCs/>
          <w:iCs/>
          <w:color w:val="auto"/>
          <w:sz w:val="24"/>
          <w:szCs w:val="24"/>
          <w:highlight w:val="none"/>
          <w:u w:val="single"/>
          <w:lang w:val="en-US" w:eastAsia="zh-CN" w:bidi="ar-SA"/>
        </w:rPr>
        <w:t xml:space="preserve">R</w:t>
      </w:r>
      <w:r>
        <w:rPr>
          <w:rFonts w:hint="eastAsia" w:ascii="宋体" w:hAnsi="宋体" w:eastAsia="宋体" w:cs="宋体"/>
          <w:b/>
          <w:bCs/>
          <w:iCs/>
          <w:color w:val="auto"/>
          <w:sz w:val="24"/>
          <w:szCs w:val="24"/>
          <w:highlight w:val="none"/>
          <w:u w:val="single"/>
          <w:lang w:val="en-US" w:eastAsia="zh-CN" w:bidi="ar-SA"/>
        </w:rPr>
        <w:t xml:space="preserve">固定总价  </w:t>
      </w:r>
      <w:r>
        <w:rPr>
          <w:rFonts w:ascii="Wingdings 2" w:hAnsi="Wingdings 2" w:eastAsia="Wingdings 2" w:cs="Wingdings 2"/>
          <w:b/>
          <w:bCs/>
          <w:iCs/>
          <w:color w:val="auto"/>
          <w:sz w:val="24"/>
          <w:szCs w:val="24"/>
          <w:highlight w:val="none"/>
          <w:u w:val="single"/>
          <w:lang w:val="en-US" w:eastAsia="zh-CN" w:bidi="ar-SA"/>
        </w:rPr>
        <w:t xml:space="preserve">£</w:t>
      </w:r>
      <w:r>
        <w:rPr>
          <w:rFonts w:hint="eastAsia" w:ascii="宋体" w:hAnsi="宋体" w:eastAsia="宋体" w:cs="宋体"/>
          <w:b/>
          <w:bCs/>
          <w:iCs/>
          <w:color w:val="auto"/>
          <w:sz w:val="24"/>
          <w:szCs w:val="24"/>
          <w:highlight w:val="none"/>
          <w:u w:val="single"/>
          <w:lang w:val="en-US" w:eastAsia="zh-CN" w:bidi="ar-SA"/>
        </w:rPr>
        <w:t xml:space="preserve">固定单价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（3）付款方式：</w:t>
      </w:r>
      <w:r/>
    </w:p>
    <w:p>
      <w:pPr>
        <w:spacing w:line="440" w:lineRule="exact"/>
        <w:rPr>
          <w:rFonts w:hint="eastAsia" w:eastAsia="宋体" w:cs="Times New Roman"/>
          <w:i w:val="0"/>
          <w:iCs w:val="0"/>
          <w:color w:val="auto"/>
          <w:sz w:val="24"/>
          <w:szCs w:val="24"/>
          <w:highlight w:val="none"/>
          <w:u w:val="single"/>
          <w:lang w:val="en-GB"/>
        </w:rPr>
      </w:pPr>
      <w:r>
        <w:rPr>
          <w:rFonts w:hint="eastAsia" w:eastAsia="宋体" w:cs="Times New Roman"/>
          <w:i w:val="0"/>
          <w:iCs w:val="0"/>
          <w:color w:val="auto"/>
          <w:sz w:val="24"/>
          <w:szCs w:val="24"/>
          <w:highlight w:val="none"/>
          <w:u w:val="single"/>
          <w:lang w:val="en-GB"/>
        </w:rPr>
        <w:t xml:space="preserve">合同签订后，完成程序测试、达到试运行条件后</w:t>
      </w:r>
      <w:r>
        <w:rPr>
          <w:rFonts w:hint="eastAsia" w:eastAsia="宋体" w:cs="Times New Roman"/>
          <w:i w:val="0"/>
          <w:iCs w:val="0"/>
          <w:color w:val="auto"/>
          <w:sz w:val="24"/>
          <w:szCs w:val="24"/>
          <w:highlight w:val="none"/>
          <w:u w:val="single"/>
          <w:lang w:val="en-US" w:eastAsia="zh-CN"/>
        </w:rPr>
        <w:t xml:space="preserve">中标人</w:t>
      </w:r>
      <w:r>
        <w:rPr>
          <w:rFonts w:hint="eastAsia" w:eastAsia="宋体" w:cs="Times New Roman"/>
          <w:i w:val="0"/>
          <w:iCs w:val="0"/>
          <w:color w:val="auto"/>
          <w:sz w:val="24"/>
          <w:szCs w:val="24"/>
          <w:highlight w:val="none"/>
          <w:u w:val="single"/>
          <w:lang w:val="en-GB"/>
        </w:rPr>
        <w:t xml:space="preserve">向</w:t>
      </w:r>
      <w:r>
        <w:rPr>
          <w:rFonts w:hint="eastAsia" w:eastAsia="宋体" w:cs="Times New Roman"/>
          <w:i w:val="0"/>
          <w:iCs w:val="0"/>
          <w:color w:val="auto"/>
          <w:sz w:val="24"/>
          <w:szCs w:val="24"/>
          <w:highlight w:val="none"/>
          <w:u w:val="single"/>
          <w:lang w:val="en-US" w:eastAsia="zh-CN"/>
        </w:rPr>
        <w:t xml:space="preserve">采购人</w:t>
      </w:r>
      <w:r>
        <w:rPr>
          <w:rFonts w:hint="eastAsia" w:eastAsia="宋体" w:cs="Times New Roman"/>
          <w:i w:val="0"/>
          <w:iCs w:val="0"/>
          <w:color w:val="auto"/>
          <w:sz w:val="24"/>
          <w:szCs w:val="24"/>
          <w:highlight w:val="none"/>
          <w:u w:val="single"/>
          <w:lang w:val="en-GB"/>
        </w:rPr>
        <w:t xml:space="preserve">开具全额发票，</w:t>
      </w:r>
      <w:r>
        <w:rPr>
          <w:rFonts w:hint="eastAsia" w:eastAsia="宋体" w:cs="Times New Roman"/>
          <w:i w:val="0"/>
          <w:iCs w:val="0"/>
          <w:color w:val="auto"/>
          <w:sz w:val="24"/>
          <w:szCs w:val="24"/>
          <w:highlight w:val="none"/>
          <w:u w:val="single"/>
          <w:lang w:val="en-US" w:eastAsia="zh-CN"/>
        </w:rPr>
        <w:t xml:space="preserve">采购人</w:t>
      </w:r>
      <w:r>
        <w:rPr>
          <w:rFonts w:hint="eastAsia" w:eastAsia="宋体" w:cs="Times New Roman"/>
          <w:i w:val="0"/>
          <w:iCs w:val="0"/>
          <w:color w:val="auto"/>
          <w:sz w:val="24"/>
          <w:szCs w:val="24"/>
          <w:highlight w:val="none"/>
          <w:u w:val="single"/>
          <w:lang w:val="en-GB"/>
        </w:rPr>
        <w:t xml:space="preserve">在收到发票后支付至</w:t>
      </w:r>
      <w:r>
        <w:rPr>
          <w:rFonts w:hint="eastAsia" w:eastAsia="宋体" w:cs="Times New Roman"/>
          <w:i w:val="0"/>
          <w:iCs w:val="0"/>
          <w:color w:val="auto"/>
          <w:sz w:val="24"/>
          <w:szCs w:val="24"/>
          <w:highlight w:val="none"/>
          <w:u w:val="single"/>
          <w:lang w:val="en-GB" w:eastAsia="zh-CN"/>
        </w:rPr>
        <w:t xml:space="preserve">合同总价</w:t>
      </w:r>
      <w:r>
        <w:rPr>
          <w:rFonts w:hint="eastAsia" w:eastAsia="宋体" w:cs="Times New Roman"/>
          <w:i w:val="0"/>
          <w:iCs w:val="0"/>
          <w:color w:val="auto"/>
          <w:sz w:val="24"/>
          <w:szCs w:val="24"/>
          <w:highlight w:val="none"/>
          <w:u w:val="single"/>
          <w:lang w:val="en-GB"/>
        </w:rPr>
        <w:t xml:space="preserve">的70%；</w:t>
      </w:r>
      <w:r/>
    </w:p>
    <w:p>
      <w:pPr>
        <w:numPr>
          <w:ilvl w:val="0"/>
          <w:numId w:val="0"/>
        </w:numPr>
        <w:keepLines w:val="0"/>
        <w:keepNext w:val="0"/>
        <w:pageBreakBefore w:val="0"/>
        <w:spacing w:before="0" w:line="360" w:lineRule="auto"/>
        <w:rPr>
          <w:rFonts w:hint="eastAsia" w:eastAsia="宋体" w:cs="Times New Roman"/>
          <w:i/>
          <w:iCs/>
          <w:color w:val="auto"/>
          <w:sz w:val="24"/>
          <w:szCs w:val="24"/>
          <w:highlight w:val="none"/>
          <w:u w:val="single"/>
          <w:lang w:val="en-GB"/>
        </w:rPr>
      </w:pPr>
      <w:r>
        <w:rPr>
          <w:rFonts w:hint="eastAsia" w:eastAsia="宋体" w:cs="Times New Roman"/>
          <w:i w:val="0"/>
          <w:iCs w:val="0"/>
          <w:color w:val="auto"/>
          <w:sz w:val="24"/>
          <w:szCs w:val="24"/>
          <w:highlight w:val="none"/>
          <w:u w:val="single"/>
          <w:lang w:val="en-GB"/>
        </w:rPr>
        <w:t xml:space="preserve">通过最终验收</w:t>
      </w:r>
      <w:r>
        <w:rPr>
          <w:rFonts w:hint="eastAsia" w:eastAsia="宋体" w:cs="Times New Roman"/>
          <w:i w:val="0"/>
          <w:iCs w:val="0"/>
          <w:color w:val="auto"/>
          <w:sz w:val="24"/>
          <w:szCs w:val="24"/>
          <w:highlight w:val="none"/>
          <w:u w:val="single"/>
          <w:lang w:val="en-GB" w:eastAsia="zh-CN"/>
        </w:rPr>
        <w:t xml:space="preserve">合格</w:t>
      </w:r>
      <w:r>
        <w:rPr>
          <w:rFonts w:hint="eastAsia" w:eastAsia="宋体" w:cs="Times New Roman"/>
          <w:i w:val="0"/>
          <w:iCs w:val="0"/>
          <w:color w:val="auto"/>
          <w:sz w:val="24"/>
          <w:szCs w:val="24"/>
          <w:highlight w:val="none"/>
          <w:u w:val="single"/>
          <w:lang w:val="en-GB"/>
        </w:rPr>
        <w:t xml:space="preserve">后支付至</w:t>
      </w:r>
      <w:r>
        <w:rPr>
          <w:rFonts w:hint="eastAsia" w:eastAsia="宋体" w:cs="Times New Roman"/>
          <w:i w:val="0"/>
          <w:iCs w:val="0"/>
          <w:color w:val="auto"/>
          <w:sz w:val="24"/>
          <w:szCs w:val="24"/>
          <w:highlight w:val="none"/>
          <w:u w:val="single"/>
          <w:lang w:val="en-US" w:eastAsia="zh-CN"/>
        </w:rPr>
        <w:t xml:space="preserve">合同</w:t>
      </w:r>
      <w:r>
        <w:rPr>
          <w:rFonts w:hint="eastAsia" w:eastAsia="宋体" w:cs="Times New Roman"/>
          <w:i w:val="0"/>
          <w:iCs w:val="0"/>
          <w:color w:val="auto"/>
          <w:sz w:val="24"/>
          <w:szCs w:val="24"/>
          <w:highlight w:val="none"/>
          <w:u w:val="single"/>
          <w:lang w:val="en-GB"/>
        </w:rPr>
        <w:t xml:space="preserve">金额的100%。</w:t>
      </w:r>
      <w:r/>
    </w:p>
    <w:p>
      <w:pPr>
        <w:numPr>
          <w:ilvl w:val="0"/>
          <w:numId w:val="1"/>
        </w:numPr>
        <w:ind w:firstLine="480"/>
        <w:keepLines w:val="0"/>
        <w:keepNext w:val="0"/>
        <w:pageBreakBefore w:val="0"/>
        <w:spacing w:before="0" w:line="36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当采购数量与实际使用数量不一致时，乙方根据实际使用量提供产品和服务，合同的最终结算金额按实际使用量乘以中标单价进行计算。</w:t>
      </w:r>
      <w:r/>
    </w:p>
    <w:p>
      <w:pPr>
        <w:numPr>
          <w:ilvl w:val="0"/>
          <w:numId w:val="0"/>
        </w:numPr>
        <w:ind w:firstLine="482"/>
        <w:keepLines w:val="0"/>
        <w:keepNext w:val="0"/>
        <w:pageBreakBefore w:val="0"/>
        <w:spacing w:before="0" w:line="360" w:lineRule="auto"/>
        <w:rPr>
          <w:rFonts w:hint="eastAsia" w:ascii="宋体" w:hAnsi="宋体" w:eastAsia="宋体" w:cs="宋体"/>
          <w:b/>
          <w:bCs w:val="0"/>
          <w:color w:val="auto"/>
          <w:sz w:val="24"/>
          <w:szCs w:val="24"/>
          <w:highlight w:val="none"/>
          <w:u w:val="single"/>
          <w:lang w:val="en-US" w:eastAsia="zh-CN" w:bidi="ar-SA"/>
        </w:rPr>
      </w:pPr>
      <w:r>
        <w:rPr>
          <w:rFonts w:hint="eastAsia" w:ascii="宋体" w:hAnsi="宋体" w:eastAsia="宋体" w:cs="宋体"/>
          <w:b/>
          <w:bCs w:val="0"/>
          <w:color w:val="auto"/>
          <w:sz w:val="24"/>
          <w:szCs w:val="24"/>
          <w:highlight w:val="none"/>
          <w:lang w:val="en-US" w:eastAsia="zh-CN" w:bidi="ar-SA"/>
        </w:rPr>
        <w:t xml:space="preserve">3.合同履行</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（1）起始日期：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日，完成日期：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（2）履约地点</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（3）履约担保：</w:t>
      </w:r>
      <w:r>
        <w:rPr>
          <w:rFonts w:hint="eastAsia" w:ascii="宋体" w:hAnsi="宋体" w:eastAsia="宋体" w:cs="宋体"/>
          <w:color w:val="auto"/>
          <w:sz w:val="24"/>
          <w:szCs w:val="24"/>
          <w:highlight w:val="none"/>
          <w:lang w:val="en-US" w:eastAsia="zh-CN" w:bidi="ar-SA"/>
        </w:rPr>
        <w:t xml:space="preserve">是否收取履约保证金：</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收取履约保证金形式：</w:t>
      </w:r>
      <w:r>
        <w:rPr>
          <w:rFonts w:hint="eastAsia" w:ascii="宋体" w:hAnsi="宋体" w:eastAsia="宋体" w:cs="宋体"/>
          <w:bCs/>
          <w:color w:val="auto"/>
          <w:sz w:val="24"/>
          <w:szCs w:val="24"/>
          <w:highlight w:val="none"/>
          <w:u w:val="single"/>
          <w:lang w:val="en-US" w:eastAsia="zh-CN" w:bidi="ar-SA"/>
        </w:rPr>
        <w:t xml:space="preserve">支票、汇票、本票或者金融机构、担保机构出具的保函等非现金形式。</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收取履约保证金金额：</w:t>
      </w:r>
      <w:r>
        <w:rPr>
          <w:rFonts w:hint="eastAsia" w:ascii="宋体" w:hAnsi="宋体" w:eastAsia="宋体" w:cs="宋体"/>
          <w:bCs/>
          <w:color w:val="auto"/>
          <w:sz w:val="24"/>
          <w:szCs w:val="24"/>
          <w:highlight w:val="none"/>
          <w:u w:val="single"/>
          <w:lang w:val="en-US" w:eastAsia="zh-CN" w:bidi="ar-SA"/>
        </w:rPr>
        <w:t xml:space="preserve">政府采购合同金额的10%</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履约担保的退还：</w:t>
      </w:r>
      <w:r>
        <w:rPr>
          <w:rFonts w:hint="eastAsia" w:ascii="宋体" w:hAnsi="宋体" w:eastAsia="宋体" w:cs="宋体"/>
          <w:bCs/>
          <w:color w:val="auto"/>
          <w:sz w:val="24"/>
          <w:szCs w:val="24"/>
          <w:highlight w:val="none"/>
          <w:u w:val="single"/>
          <w:lang w:val="en-US" w:eastAsia="zh-CN"/>
        </w:rPr>
        <w:t xml:space="preserve">全部货物供货完成并经</w:t>
      </w:r>
      <w:r>
        <w:rPr>
          <w:rFonts w:hint="eastAsia" w:ascii="宋体" w:hAnsi="宋体" w:eastAsia="宋体" w:cs="宋体"/>
          <w:color w:val="auto"/>
          <w:sz w:val="24"/>
          <w:szCs w:val="24"/>
          <w:highlight w:val="none"/>
          <w:u w:val="single"/>
        </w:rPr>
        <w:t xml:space="preserve">验收合格后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15日内退还</w:t>
      </w:r>
      <w:r>
        <w:rPr>
          <w:rFonts w:hint="eastAsia" w:ascii="宋体" w:hAnsi="宋体" w:eastAsia="宋体" w:cs="宋体"/>
          <w:bCs/>
          <w:color w:val="auto"/>
          <w:sz w:val="24"/>
          <w:szCs w:val="24"/>
          <w:highlight w:val="none"/>
          <w:u w:val="single"/>
          <w:lang w:val="en-US" w:eastAsia="zh-CN" w:bidi="ar-SA"/>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single"/>
          <w:lang w:val="en-US" w:eastAsia="zh-CN" w:bidi="ar-SA"/>
        </w:rPr>
        <w:t xml:space="preserve">本项目支持和鼓励供应商使用江苏政府采购电子履约保函（保险）代替缴纳履约保证金。以履约保函（保险）形式向采购人缴纳的，按照《关于在全省政府采购领域推行电子履约保函（保险）的通知》（苏财购〔2023〕150号），登录江苏政府采购网，选择“保险保函”模块，进行相关操作。供应商可登陆江苏政府采购网“资料下载”栏目下载“政府采购电子履约（保函）保险操作手册（网址：www.ccgp-jiangsu.gov.cn/jisngsu/zlxz/)。</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single"/>
          <w:lang w:val="en-US" w:eastAsia="zh-CN" w:bidi="ar-SA"/>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4.合同验收</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（1）验收组织方式：</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自行组织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委托第三方组织</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验收主体：</w:t>
      </w:r>
      <w:r>
        <w:rPr>
          <w:rFonts w:hint="eastAsia" w:ascii="宋体" w:hAnsi="宋体" w:eastAsia="宋体" w:cs="宋体"/>
          <w:bCs/>
          <w:color w:val="auto"/>
          <w:sz w:val="24"/>
          <w:szCs w:val="24"/>
          <w:highlight w:val="none"/>
          <w:u w:val="single"/>
          <w:lang w:val="en-US" w:eastAsia="zh-CN" w:bidi="ar-SA"/>
        </w:rPr>
        <w:t xml:space="preserve"> 连云港开放大学 </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是否邀请本项目的其他供应商参加验收：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是否邀请专家参加验收：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是否邀请服务对象参加验收：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是否邀请第三方检测机构参加验收：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是否进行抽查检测：</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是，抽查比例：</w:t>
      </w:r>
      <w:r>
        <w:rPr>
          <w:rFonts w:hint="eastAsia" w:ascii="宋体" w:hAnsi="宋体" w:eastAsia="宋体" w:cs="宋体"/>
          <w:bCs/>
          <w:color w:val="auto"/>
          <w:sz w:val="24"/>
          <w:szCs w:val="24"/>
          <w:highlight w:val="none"/>
          <w:u w:val="single"/>
          <w:lang w:val="en-US" w:eastAsia="zh-CN" w:bidi="ar-SA"/>
        </w:rPr>
        <w:t xml:space="preserve">按甲方要求</w:t>
      </w:r>
      <w:r>
        <w:rPr>
          <w:rFonts w:hint="eastAsia" w:ascii="宋体" w:hAnsi="宋体" w:eastAsia="宋体" w:cs="宋体"/>
          <w:bCs/>
          <w:color w:val="auto"/>
          <w:sz w:val="24"/>
          <w:szCs w:val="24"/>
          <w:highlight w:val="none"/>
          <w:lang w:val="en-US" w:eastAsia="zh-CN" w:bidi="ar-SA"/>
        </w:rPr>
        <w:t xml:space="preserve">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是否存在破坏性检测：</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验收组织的其他事项：</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（2）履约验收时间：</w:t>
      </w:r>
      <w:r>
        <w:rPr>
          <w:rFonts w:hint="eastAsia" w:ascii="宋体" w:hAnsi="宋体" w:eastAsia="宋体" w:cs="宋体"/>
          <w:bCs/>
          <w:color w:val="auto"/>
          <w:sz w:val="24"/>
          <w:szCs w:val="24"/>
          <w:highlight w:val="none"/>
          <w:u w:val="single"/>
          <w:lang w:val="en-US" w:eastAsia="zh-CN" w:bidi="ar-SA"/>
        </w:rPr>
        <w:t xml:space="preserve">采购人依法组织验收</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（3）履约验收方式：</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一次性验收        </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（4）履约验收程序：</w:t>
      </w:r>
      <w:r>
        <w:rPr>
          <w:rFonts w:hint="eastAsia" w:ascii="宋体" w:hAnsi="宋体" w:eastAsia="宋体" w:cs="宋体"/>
          <w:bCs/>
          <w:color w:val="auto"/>
          <w:sz w:val="24"/>
          <w:szCs w:val="24"/>
          <w:highlight w:val="none"/>
          <w:u w:val="single"/>
          <w:lang w:val="en-US" w:eastAsia="zh-CN"/>
        </w:rPr>
        <w:t xml:space="preserve">详见招标文件</w:t>
      </w:r>
      <w:r>
        <w:rPr>
          <w:rFonts w:hint="eastAsia" w:ascii="宋体" w:hAnsi="宋体" w:eastAsia="宋体" w:cs="宋体"/>
          <w:bCs/>
          <w:color w:val="auto"/>
          <w:sz w:val="24"/>
          <w:szCs w:val="24"/>
          <w:highlight w:val="none"/>
          <w:u w:val="single"/>
          <w:lang w:val="en-US" w:eastAsia="zh-CN" w:bidi="ar-SA"/>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（5）履约验收标准：</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1、甲方以招标文件、乙方的投标文件、承诺、合同为依据，成立验收小组，负责对项目进行全面的验收。</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2、货物的验收包括：数量、外观、质量、性能、包装等；所有设备和附（配）件应符合其规定的性能，无瑕疵和缺陷，质量为合格产品。乙方对质量问题负责包退、包换和包修，因此发生的费用由乙方自行负责。</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4、验收时，乙方须提供所投产品中涉及3C强制性认证、节能、节水、环境标志产品的有效认证证书，证书信息须与所投产品一致。无法提供或证书无效、不符合国家强制性标准及政府采购政策要求的，视为验收不合格，甲方不予验收、不予付款。</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货物到达甲方指定地点并安装、调试工作完成后，通知甲方，由甲方根据相关部门规定的验收方案，严格按照有关要求及标准，对整个项目进行验收；交付使用时要同时向甲方提供详细的技术文件、调试报告、安装记录、原厂保修卡、随机资料及配件。</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软件系统平台验收要求：相关软件系统平台部署完成后，提供软件使用说明书并组织相关培训，软件系统平台自交付起12个月内，完成功能性、兼容性、稳定性验收，形成应收意见，验收书双方共同签署。对于不满足要求的，提出整改，于整改完成后再重新进行验收，直至符合招标文件要求。</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7、乙方按合同约定履约完成全部项目，并满足使用要求，须及时向甲方或合同签订的甲方提交验收申请。合同签订的甲方（使用者）须进行初步验收，完全达到符合采购合同约定的验收条件时，再向验收小组申请正式验收。投标人须提交规范供货承诺书、合同签订的甲方（使用者）须向验收组提交规范验货承诺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（6）是否以采购活动中供应商提供的样品作为参考：</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（7）履约验收其他事项：</w:t>
      </w:r>
      <w:r>
        <w:rPr>
          <w:rFonts w:hint="eastAsia" w:ascii="宋体" w:hAnsi="宋体" w:eastAsia="宋体" w:cs="宋体"/>
          <w:bCs/>
          <w:color w:val="auto"/>
          <w:sz w:val="24"/>
          <w:szCs w:val="24"/>
          <w:highlight w:val="none"/>
          <w:u w:val="single"/>
          <w:lang w:val="en-US" w:eastAsia="zh-CN" w:bidi="ar-SA"/>
        </w:rPr>
        <w:t xml:space="preserve">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5.组成合同的文件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本协议书与下列文件一起构成合同文件，如下述文件之间有任何抵触、矛盾或歧义，应按以下顺序解释：</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（1）政府采购合同协议书及其变更、补充协议</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（2）政府采购合同专用条款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（3）政府采购合同通用条款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（4）中标（成交）通知书</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（5）投标（响应）文件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（6）招标文件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（7）有关技术文件，图纸</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6.合同生效</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本合同自</w:t>
      </w:r>
      <w:r>
        <w:rPr>
          <w:rFonts w:hint="eastAsia" w:ascii="宋体" w:hAnsi="宋体" w:eastAsia="宋体" w:cs="宋体"/>
          <w:color w:val="auto"/>
          <w:sz w:val="24"/>
          <w:szCs w:val="24"/>
          <w:highlight w:val="none"/>
          <w:u w:val="single"/>
          <w:lang w:val="en-US" w:eastAsia="zh-CN" w:bidi="ar-SA"/>
        </w:rPr>
        <w:t xml:space="preserve"> 双方签字盖章后 </w:t>
      </w:r>
      <w:r>
        <w:rPr>
          <w:rFonts w:hint="eastAsia" w:ascii="宋体" w:hAnsi="宋体" w:eastAsia="宋体" w:cs="宋体"/>
          <w:color w:val="auto"/>
          <w:sz w:val="24"/>
          <w:szCs w:val="24"/>
          <w:highlight w:val="none"/>
          <w:lang w:val="en-US" w:eastAsia="zh-CN" w:bidi="ar-SA"/>
        </w:rPr>
        <w:t xml:space="preserve">生效。</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7.合同份数</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本合同一式</w:t>
      </w:r>
      <w:r>
        <w:rPr>
          <w:rFonts w:hint="eastAsia" w:ascii="宋体" w:hAnsi="宋体" w:eastAsia="宋体" w:cs="宋体"/>
          <w:color w:val="auto"/>
          <w:sz w:val="24"/>
          <w:szCs w:val="24"/>
          <w:highlight w:val="none"/>
          <w:u w:val="single"/>
          <w:lang w:val="en-US" w:eastAsia="zh-CN" w:bidi="ar-SA"/>
        </w:rPr>
        <w:t xml:space="preserve"> 陆 </w:t>
      </w:r>
      <w:r>
        <w:rPr>
          <w:rFonts w:hint="eastAsia" w:ascii="宋体" w:hAnsi="宋体" w:eastAsia="宋体" w:cs="宋体"/>
          <w:color w:val="auto"/>
          <w:sz w:val="24"/>
          <w:szCs w:val="24"/>
          <w:highlight w:val="none"/>
          <w:lang w:val="en-US" w:eastAsia="zh-CN" w:bidi="ar-SA"/>
        </w:rPr>
        <w:t xml:space="preserve">份，甲方执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份，乙方执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份，均具有同等法律效力。</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合同订立时间：</w:t>
      </w:r>
      <w:r>
        <w:rPr>
          <w:rFonts w:hint="eastAsia" w:ascii="宋体" w:hAnsi="宋体" w:eastAsia="宋体" w:cs="宋体"/>
          <w:color w:val="auto"/>
          <w:sz w:val="24"/>
          <w:szCs w:val="24"/>
          <w:highlight w:val="none"/>
          <w:u w:val="single"/>
          <w:lang w:val="en-US" w:eastAsia="zh-CN" w:bidi="ar-SA"/>
        </w:rPr>
        <w:t xml:space="preserve"> 2026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合同订立地点：</w:t>
      </w:r>
      <w:r>
        <w:rPr>
          <w:rFonts w:hint="eastAsia" w:ascii="宋体" w:hAnsi="宋体" w:eastAsia="宋体" w:cs="宋体"/>
          <w:color w:val="auto"/>
          <w:sz w:val="24"/>
          <w:szCs w:val="24"/>
          <w:highlight w:val="none"/>
          <w:u w:val="single"/>
          <w:lang w:val="en-US" w:eastAsia="zh-CN" w:bidi="ar-SA"/>
        </w:rPr>
        <w:t xml:space="preserve">  连云港开放大学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附件：具体标的及其</w:t>
      </w:r>
      <w:r>
        <w:rPr>
          <w:rFonts w:hint="eastAsia" w:ascii="宋体" w:hAnsi="宋体" w:eastAsia="宋体" w:cs="宋体"/>
          <w:color w:val="auto"/>
          <w:sz w:val="24"/>
          <w:szCs w:val="24"/>
          <w:highlight w:val="none"/>
          <w:u w:val="none"/>
          <w:lang w:val="en-US" w:eastAsia="zh-CN" w:bidi="ar-SA"/>
        </w:rPr>
        <w:t xml:space="preserve">技术要求和商务要求</w:t>
      </w:r>
      <w:r>
        <w:rPr>
          <w:rFonts w:hint="eastAsia" w:ascii="宋体" w:hAnsi="宋体" w:eastAsia="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br w:type="page" w:clear="all"/>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759"/>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33"/>
        <w:gridCol w:w="2146"/>
        <w:gridCol w:w="2297"/>
      </w:tblGrid>
      <w:tr>
        <w:trPr>
          <w:jc w:val="cente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乙方（供应商）</w:t>
            </w:r>
            <w:r/>
          </w:p>
        </w:tc>
      </w:tr>
      <w:tr>
        <w:trPr>
          <w:jc w:val="center"/>
          <w:trHeight w:val="917"/>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1171"/>
        </w:trPr>
        <w:tc>
          <w:tcPr>
            <w:tcBorders>
              <w:top w:val="single" w:color="auto" w:sz="2" w:space="0"/>
              <w:right w:val="single" w:color="auto" w:sz="2" w:space="0"/>
            </w:tcBorders>
            <w:tcW w:w="122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ind w:firstLine="115"/>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right w:val="single" w:color="auto" w:sz="2" w:space="0"/>
            </w:tcBorders>
            <w:tcW w:w="133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3"/>
        </w:trPr>
        <w:tc>
          <w:tcPr>
            <w:tcBorders>
              <w:bottom w:val="single" w:color="auto" w:sz="2" w:space="0"/>
              <w:right w:val="single" w:color="auto" w:sz="2" w:space="0"/>
            </w:tcBorders>
            <w:tcW w:w="122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2" w:space="0"/>
              <w:bottom w:val="single" w:color="auto" w:sz="2" w:space="0"/>
              <w:right w:val="single" w:color="auto" w:sz="2" w:space="0"/>
            </w:tcBorders>
            <w:tcW w:w="133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注：涉及联合体或其他合同主体的信息应按上表格式加列。</w:t>
            </w:r>
            <w:r/>
          </w:p>
        </w:tc>
      </w:tr>
    </w:tbl>
    <w:p>
      <w:pPr>
        <w:jc w:val="center"/>
        <w:keepLines/>
        <w:keepNext/>
        <w:spacing w:before="156"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u w:val="single"/>
          <w:lang w:val="en-US" w:eastAsia="zh-CN" w:bidi="ar-SA"/>
        </w:rPr>
        <w:br w:type="page" w:clear="all"/>
      </w:r>
      <w:bookmarkStart w:id="17" w:name="_Toc27624"/>
      <w:r>
        <w:rPr>
          <w:rFonts w:hint="eastAsia" w:ascii="宋体" w:hAnsi="宋体" w:eastAsia="宋体" w:cs="宋体"/>
          <w:b w:val="0"/>
          <w:bCs w:val="0"/>
          <w:color w:val="auto"/>
          <w:sz w:val="24"/>
          <w:szCs w:val="24"/>
          <w:highlight w:val="none"/>
          <w:lang w:val="en-US" w:eastAsia="zh-CN" w:bidi="ar-SA"/>
        </w:rPr>
        <w:t xml:space="preserve">第二节 政府采购合同通用条款</w:t>
      </w:r>
      <w:bookmarkEnd w:id="17"/>
      <w:r/>
      <w:r/>
    </w:p>
    <w:p>
      <w:pPr>
        <w:ind w:firstLine="482"/>
        <w:jc w:val="left"/>
        <w:pageBreakBefore w:val="0"/>
        <w:spacing w:line="360" w:lineRule="auto"/>
        <w:tabs>
          <w:tab w:val="left" w:pos="8820" w:leader="none"/>
          <w:tab w:val="left" w:pos="9345" w:leader="none"/>
          <w:tab w:val="left" w:pos="9765"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 </w:t>
      </w:r>
      <w:r>
        <w:rPr>
          <w:rFonts w:hint="eastAsia" w:ascii="宋体" w:hAnsi="宋体" w:eastAsia="宋体" w:cs="宋体"/>
          <w:b/>
          <w:bCs/>
          <w:color w:val="auto"/>
          <w:sz w:val="24"/>
          <w:szCs w:val="24"/>
          <w:highlight w:val="none"/>
          <w:lang w:val="en-US" w:eastAsia="zh-CN" w:bidi="ar-SA"/>
        </w:rPr>
        <w:t xml:space="preserve">定义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1.1合同当事人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（1）采购人（以下称甲方）是指使用财政性资金，通过政府采购方式向供应商购买货物及其相关服务的国家机关、事业单位、团体组织。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（2）供应商（以下称乙方）是指参加政府采购活动并且中标（成交），向采购人提供合同约定的货物及其相关服务的法人、非法人组织或者自然人。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（3）其他合同主体是指除采购人和供应商以外，</w:t>
      </w:r>
      <w:r>
        <w:rPr>
          <w:rFonts w:hint="eastAsia" w:ascii="宋体" w:hAnsi="宋体" w:eastAsia="宋体" w:cs="宋体"/>
          <w:bCs/>
          <w:color w:val="auto"/>
          <w:sz w:val="24"/>
          <w:szCs w:val="24"/>
          <w:highlight w:val="none"/>
          <w:lang w:val="en-US" w:eastAsia="zh-CN" w:bidi="ar-SA"/>
        </w:rPr>
        <w:t xml:space="preserve">依法参与合同缔结或履行，享有权利、承担义务的合同当事人</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1.2本合同下列术语应解释为：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（1）“合同”系指</w:t>
      </w:r>
      <w:r>
        <w:rPr>
          <w:rFonts w:hint="eastAsia" w:ascii="宋体" w:hAnsi="宋体" w:eastAsia="宋体" w:cs="宋体"/>
          <w:bCs/>
          <w:color w:val="auto"/>
          <w:sz w:val="24"/>
          <w:szCs w:val="24"/>
          <w:highlight w:val="none"/>
          <w:lang w:val="en-US" w:eastAsia="zh-CN" w:bidi="ar-SA"/>
        </w:rPr>
        <w:t xml:space="preserve">合同当事人意思表示达成一致的任何协议，包括签署的</w:t>
      </w:r>
      <w:r>
        <w:rPr>
          <w:rFonts w:hint="eastAsia" w:ascii="宋体" w:hAnsi="宋体" w:eastAsia="宋体" w:cs="宋体"/>
          <w:color w:val="auto"/>
          <w:sz w:val="24"/>
          <w:szCs w:val="24"/>
          <w:highlight w:val="none"/>
          <w:lang w:val="en-US" w:eastAsia="zh-CN" w:bidi="ar-SA"/>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（2）“合同价款”系指根据本合同规定乙方在全面履行合同义务后甲方应支付给乙方的价款。</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技术资料和材料等。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（4）“相关服务”系指根据合同规定，乙方应提供的与货物有关的技术、管理和</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（7）其他术语解释，见【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合同标的及金额</w:t>
      </w:r>
      <w:r/>
    </w:p>
    <w:p>
      <w:pPr>
        <w:ind w:firstLine="480"/>
        <w:jc w:val="left"/>
        <w:pageBreakBefore w:val="0"/>
        <w:spacing w:line="360" w:lineRule="auto"/>
        <w:rPr>
          <w:rFonts w:hint="eastAsia" w:ascii="宋体" w:hAnsi="宋体" w:eastAsia="宋体" w:cs="宋体"/>
          <w:b/>
          <w:bCs/>
          <w:i/>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任何费用。</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 履行合同的时间、地点和方式</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乙方应当在约定的时间、地点，按照约定方式履行合同。</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 甲方的权利和义务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 甲方有权要求乙方对缺陷部分予以修复，并按合同约定享有货物保修及其他合同约定的权利。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甲方应当按照合同约定及时对交付的货物进行验收，</w:t>
      </w:r>
      <w:r>
        <w:rPr>
          <w:rFonts w:hint="eastAsia" w:ascii="宋体" w:hAnsi="宋体" w:eastAsia="宋体" w:cs="宋体"/>
          <w:b w:val="0"/>
          <w:bCs w:val="0"/>
          <w:color w:val="auto"/>
          <w:sz w:val="24"/>
          <w:szCs w:val="24"/>
          <w:highlight w:val="none"/>
          <w:lang w:val="en-US" w:eastAsia="zh-CN" w:bidi="ar-SA"/>
        </w:rPr>
        <w:t xml:space="preserve">未</w:t>
      </w:r>
      <w:r>
        <w:rPr>
          <w:rFonts w:hint="eastAsia" w:ascii="宋体" w:hAnsi="宋体" w:eastAsia="宋体" w:cs="宋体"/>
          <w:color w:val="auto"/>
          <w:sz w:val="24"/>
          <w:szCs w:val="24"/>
          <w:highlight w:val="none"/>
          <w:lang w:val="en-US" w:eastAsia="zh-CN" w:bidi="ar-SA"/>
        </w:rPr>
        <w:t xml:space="preserve">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bidi="ar-SA"/>
        </w:rPr>
        <w:t xml:space="preserve">视为验收通过。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4.5 甲方应当根据合同约定及时向乙方支付合同价款，不得以内部人员变更、履行内部付款流程等为由，拒绝或迟延支付。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4.6 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约定应由甲方承担的其他义务和责任。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 乙方的权利和义务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 签署合同后，乙方应确定项目负责人（或项目联系人），负责与本合同有关的事务。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5.3乙方有权根据合同约定向甲方收取合同价款。</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约定应</w:t>
      </w:r>
      <w:r>
        <w:rPr>
          <w:rFonts w:hint="eastAsia" w:ascii="宋体" w:hAnsi="宋体" w:eastAsia="宋体" w:cs="宋体"/>
          <w:color w:val="auto"/>
          <w:sz w:val="24"/>
          <w:szCs w:val="24"/>
          <w:highlight w:val="none"/>
          <w:lang w:val="en-US" w:eastAsia="zh-CN" w:bidi="ar-SA"/>
        </w:rPr>
        <w:t xml:space="preserve">由乙方承担的其他义务和责任。</w:t>
      </w:r>
      <w:r/>
    </w:p>
    <w:p>
      <w:pPr>
        <w:numPr>
          <w:ilvl w:val="0"/>
          <w:numId w:val="2"/>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 甲乙双方应当按照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约定顺序履行合同义务；如果没有先后顺序的，应当同时履行。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 货物包装、运输、保险和交付要求</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本合同</w:t>
      </w:r>
      <w:r>
        <w:rPr>
          <w:rFonts w:hint="eastAsia" w:ascii="宋体" w:hAnsi="宋体" w:eastAsia="宋体" w:cs="宋体"/>
          <w:bCs/>
          <w:color w:val="auto"/>
          <w:sz w:val="24"/>
          <w:szCs w:val="24"/>
          <w:highlight w:val="none"/>
          <w:lang w:val="en-US" w:eastAsia="zh-CN" w:bidi="ar-SA"/>
        </w:rPr>
        <w:t xml:space="preserve">涉及商品包装、快递包装的，</w:t>
      </w:r>
      <w:r>
        <w:rPr>
          <w:rFonts w:hint="eastAsia" w:ascii="宋体" w:hAnsi="宋体" w:eastAsia="宋体" w:cs="宋体"/>
          <w:color w:val="auto"/>
          <w:sz w:val="24"/>
          <w:szCs w:val="24"/>
          <w:highlight w:val="none"/>
          <w:lang w:val="en-US" w:eastAsia="zh-CN" w:bidi="ar-SA"/>
        </w:rPr>
        <w:t xml:space="preserve">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约定的</w:t>
      </w:r>
      <w:r>
        <w:rPr>
          <w:rFonts w:hint="eastAsia" w:ascii="宋体" w:hAnsi="宋体" w:eastAsia="宋体" w:cs="宋体"/>
          <w:color w:val="auto"/>
          <w:sz w:val="24"/>
          <w:szCs w:val="24"/>
          <w:highlight w:val="none"/>
          <w:lang w:val="en-US" w:eastAsia="zh-CN" w:bidi="ar-SA"/>
        </w:rPr>
        <w:t xml:space="preserve">指定现场。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 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乙方负责办理将货物运抵本合同规定的交货地点，并装卸、交付至甲方的一切运输事项，相关费用应包含在合同价款中。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 货物保险要求按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规定执行</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 乙方在运输到达之前应提前通知甲方，并提示货物运输装卸的注意事项，甲方配合乙方做好货物的接收工作。</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7.6 如因包装、运输问题导致货物损毁、丢失或者品质下降，甲方有权要求降价、换货、拒收部分或整批货物，由此产生的费用和损失，均由乙方承担。</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 质量标准和保证</w:t>
      </w:r>
      <w:r/>
    </w:p>
    <w:p>
      <w:pPr>
        <w:ind w:firstLine="480"/>
        <w:jc w:val="left"/>
        <w:pageBreakBefore w:val="0"/>
        <w:spacing w:before="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质量标准</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（2）采用中华人民共和国法定计量单位。</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（3）乙方所提供的货物应符合国家有关安全、环保、卫生的规定。</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保证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规定或乙方书面承诺（两者以较长的为准）的质量保证期内，本保证保持有效。</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（2）在质量保证期内所发现的缺陷，甲方应尽快以书面形式通知乙方。</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（3）乙方收到通知后，应在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规定的响应时间内以合理的速度免费维修或更换有缺陷的货物或部件。</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（5）乙方在约定的时间内未能弥补缺陷，甲方可采取必要的补救措施，但其风险和费用将由乙方承担，甲方根据合同约定对乙方行使的其他权利不受影响。</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 权利瑕疵担保</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乙方保证对其出售的货物享有合法的权利。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 乙方保证在交付的货物上不存在抵押权等担保物权。</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 如甲方使用上述货物构成对第三人侵权的，则由乙方承担全部责任。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10. 知识产权保护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 乙方对其所销售的货物应当享有知识产权或经权利人合法授权，保证没有侵犯任何第三人的知识产权等权利。</w:t>
      </w:r>
      <w:bookmarkStart w:id="18" w:name="_Hlk163047038"/>
      <w:r>
        <w:rPr>
          <w:rFonts w:hint="eastAsia" w:ascii="宋体" w:hAnsi="宋体" w:eastAsia="宋体" w:cs="宋体"/>
          <w:color w:val="auto"/>
          <w:sz w:val="24"/>
          <w:szCs w:val="24"/>
          <w:highlight w:val="none"/>
          <w:lang w:val="en-US" w:eastAsia="zh-CN" w:bidi="ar-SA"/>
        </w:rPr>
        <w:t xml:space="preserve">因违反前述约定对第三人构成侵权的，应当由乙方向第三人承担法律责任；甲方依法向第三人赔偿后，有权向乙方追偿。甲方有其他损失的，乙方应当赔偿</w:t>
      </w:r>
      <w:bookmarkEnd w:id="18"/>
      <w:r>
        <w:rPr>
          <w:rFonts w:hint="eastAsia" w:ascii="宋体" w:hAnsi="宋体" w:eastAsia="宋体" w:cs="宋体"/>
          <w:color w:val="auto"/>
          <w:sz w:val="24"/>
          <w:szCs w:val="24"/>
          <w:highlight w:val="none"/>
          <w:lang w:val="en-US" w:eastAsia="zh-CN" w:bidi="ar-SA"/>
        </w:rPr>
        <w:t xml:space="preserve">。</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 保密义务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中约定。</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 合同价款支付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合同价款支付按照国库集中支付制度及财政管理相关规定执行。</w:t>
      </w:r>
      <w:r/>
    </w:p>
    <w:p>
      <w:pPr>
        <w:ind w:firstLine="480"/>
        <w:jc w:val="both"/>
        <w:keepLines/>
        <w:keepNext/>
        <w:pageBreakBefore w:val="0"/>
        <w:spacing w:before="0"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12.2 对于满足合同约定支付条件的，甲方</w:t>
      </w:r>
      <w:r>
        <w:rPr>
          <w:rFonts w:hint="eastAsia" w:ascii="宋体" w:hAnsi="宋体" w:eastAsia="宋体" w:cs="宋体"/>
          <w:b w:val="0"/>
          <w:bCs w:val="0"/>
          <w:i w:val="0"/>
          <w:iCs w:val="0"/>
          <w:caps w:val="0"/>
          <w:color w:val="auto"/>
          <w:spacing w:val="0"/>
          <w:sz w:val="24"/>
          <w:szCs w:val="24"/>
          <w:highlight w:val="none"/>
          <w:shd w:val="clear" w:color="auto"/>
          <w:vertAlign w:val="baseline"/>
          <w:lang w:val="en-US" w:eastAsia="zh-CN" w:bidi="ar-SA"/>
        </w:rPr>
        <w:t xml:space="preserve">原则上应当自收到发票后10个工作日内</w:t>
      </w:r>
      <w:r>
        <w:rPr>
          <w:rFonts w:hint="eastAsia" w:ascii="宋体" w:hAnsi="宋体" w:eastAsia="宋体" w:cs="宋体"/>
          <w:b w:val="0"/>
          <w:bCs w:val="0"/>
          <w:color w:val="auto"/>
          <w:sz w:val="24"/>
          <w:szCs w:val="24"/>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】中约定。</w:t>
      </w:r>
      <w:r/>
    </w:p>
    <w:p>
      <w:pPr>
        <w:ind w:firstLine="482"/>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13. 履约保证金</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乙方应当以支票、汇票、本票或者金融机构、担保机构出具的保函等非现金形式提交。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如果乙方出现</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约定情形的</w:t>
      </w:r>
      <w:r>
        <w:rPr>
          <w:rFonts w:hint="eastAsia" w:ascii="宋体" w:hAnsi="宋体" w:eastAsia="宋体" w:cs="宋体"/>
          <w:color w:val="auto"/>
          <w:sz w:val="24"/>
          <w:szCs w:val="24"/>
          <w:highlight w:val="none"/>
          <w:lang w:val="en-US" w:eastAsia="zh-CN" w:bidi="ar-SA"/>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甲方在项目通过验收后按照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规定支付。</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 </w:t>
      </w:r>
      <w:r>
        <w:rPr>
          <w:rFonts w:hint="eastAsia" w:ascii="宋体" w:hAnsi="宋体" w:eastAsia="宋体" w:cs="宋体"/>
          <w:b/>
          <w:color w:val="auto"/>
          <w:sz w:val="24"/>
          <w:szCs w:val="24"/>
          <w:highlight w:val="none"/>
          <w:lang w:val="en-US" w:eastAsia="zh-CN" w:bidi="ar-SA"/>
        </w:rPr>
        <w:t xml:space="preserve">售后服务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除项目不涉及或采购活动中明确约定无须承担外，乙方还应提供下列服务：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（1）货物的现场移动、安装、调试、启动监督及技术支持；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（2）提供货物组装和维修所需的专用工具和辅助材料；</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约定的期限内对所有的货物实施运行监督、维修，但前提条件是该服务并不能免除乙方在质量保证期内所承担的义务；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（4）在制造商所在地或指定现场就货物的安装、启动、运营、维护、废弃处置等对甲方操作人员进行培训；</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（5）依照法律、行政法规的规定或者按照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约定，货物在有效使用年限届满后应予回收的，乙方负有自行或者委托第三人对货物予以回收的义务；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规定由乙方提供的其他服务。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乙方提供的售后服务的费用已包含在合同价款中，甲方不再另行支付。</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15. 违约责任</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15.1质量瑕疵的违约责任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要求</w:t>
      </w:r>
      <w:r>
        <w:rPr>
          <w:rFonts w:hint="eastAsia" w:ascii="宋体" w:hAnsi="宋体" w:eastAsia="宋体" w:cs="宋体"/>
          <w:color w:val="auto"/>
          <w:sz w:val="24"/>
          <w:szCs w:val="24"/>
          <w:highlight w:val="none"/>
          <w:lang w:val="en-US" w:eastAsia="zh-CN" w:bidi="ar-SA"/>
        </w:rPr>
        <w:t xml:space="preserve">及时修理、重作、更换，并承担由此给甲方造成的损失。</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15.2 迟延交货的违约责任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规定执行。如果涉及公共利益，且赔偿金额无法弥补公共利益损失，甲方可要求继续履行或者采取其他补救措施。</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 迟延支付的违约责任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甲方存在迟延支付乙方合同款项的，应当承担</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规定的逾期付款利息。</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15.4其他违约责任根据项目实际需要按</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w:t>
      </w:r>
      <w:r/>
    </w:p>
    <w:p>
      <w:pPr>
        <w:numPr>
          <w:ilvl w:val="0"/>
          <w:numId w:val="3"/>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合同变更、中止与终止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16.1合同的变更</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政府采购合同履行中，在不改变合同其他条款的前提下，甲方可以在合同价款10%的范围内追加与合同标的相同的货物，并就此与乙方协商一致后签订补充协议。</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16.2合同的中止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（1）合同履行过程中因供应商就采购文件、采购过程或结果提起投诉的，甲方认为有必要的，可以中止合同的履行。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（4）甲方不得以行政区划调整、政府换届、机构或者职能调整以及相关责任人更替为由中止合同。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16.3合同的终止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（1）合同因有效期限届满而终止；</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（2）乙方未按合同约定履行，构成根本性违约的，甲方有权终止合同，并追究乙方的违约责任。</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 </w:t>
      </w:r>
      <w:r>
        <w:rPr>
          <w:rFonts w:hint="eastAsia" w:ascii="宋体" w:hAnsi="宋体" w:eastAsia="宋体" w:cs="宋体"/>
          <w:color w:val="auto"/>
          <w:sz w:val="24"/>
          <w:szCs w:val="24"/>
          <w:highlight w:val="none"/>
          <w:lang w:val="en-US" w:eastAsia="zh-CN" w:bidi="ar-SA"/>
        </w:rPr>
        <w:t xml:space="preserve">涉及国家利益、社会公共利益的情形</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17. 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 乙方不得将合同转包给其他供应商。涉及合同分包的，乙方应根据采购文件和投标（响应）文件规定进行合同分包。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 乙方执行政府采购政策向中小企业依法分包的，乙方应当按采购文件和投标（响应）文件签订分包意向协议，分包意向协议属于本合同组成部分。</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18. 不可抗力</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不可抗力是指合同双方不能预见、不能避免且不能克服的客观情况。</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 任何一方对由于不可抗力造成的部分或全部不能履行合同不承担违约责任。但迟延履行后发生不可抗力的，不能免除责任。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19. 解决争议的方法</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 选择仲裁的，应在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中明确仲裁机构及仲裁地；通过诉讼方式解决的，可以在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中进一步约定选择与争议有实际联系的地点的人民法院管辖，但管辖法院的约定不得违反级别管辖和专属管辖的规定。</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19.3 如甲乙双方有争议的事项不影响合同其他部分的履行，在争议解决期间，合同其他部分应当继续履行。</w:t>
      </w:r>
      <w:r/>
    </w:p>
    <w:p>
      <w:pPr>
        <w:ind w:firstLine="482"/>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20. 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w:t>
      </w:r>
      <w:r>
        <w:rPr>
          <w:rFonts w:hint="eastAsia" w:ascii="宋体" w:hAnsi="宋体" w:eastAsia="宋体" w:cs="宋体"/>
          <w:color w:val="auto"/>
          <w:sz w:val="24"/>
          <w:szCs w:val="24"/>
          <w:highlight w:val="none"/>
          <w:lang w:val="en-GB" w:eastAsia="zh-CN" w:bidi="ar-SA"/>
        </w:rPr>
        <w:t xml:space="preserve">本合同应当按照规定执行政府采购政策。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eastAsia="zh-CN" w:bidi="ar-SA"/>
        </w:rPr>
        <w:t xml:space="preserve">未按规定要求执行政府采购政策造成损失的</w:t>
      </w:r>
      <w:r>
        <w:rPr>
          <w:rFonts w:hint="eastAsia" w:ascii="宋体" w:hAnsi="宋体" w:eastAsia="宋体" w:cs="宋体"/>
          <w:color w:val="auto"/>
          <w:sz w:val="24"/>
          <w:szCs w:val="24"/>
          <w:highlight w:val="none"/>
          <w:lang w:val="en-US" w:eastAsia="zh-CN" w:bidi="ar-SA"/>
        </w:rPr>
        <w:t xml:space="preserve">，有过错的一方应当承担赔偿责任，双方都有过错的，各自承担相应的责任。</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21. 法律适用</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本合同的订立、生效、解释、履行及与本合同有关的争议解决，均适用法律、行政法规。</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本合同条款与法律、行政法规的强制性规定不一致的，双方当事人应按照法律、行政法规的强制性规定修改本合同的相关条款。</w:t>
      </w:r>
      <w:r/>
    </w:p>
    <w:p>
      <w:pPr>
        <w:numPr>
          <w:ilvl w:val="-1"/>
          <w:numId w:val="0"/>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22. 通知</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22.3本合同一方给另一方的通知均应采用书面形式，传真或快递送到本合同中规定的对方的地址和办理签收手续。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22.4通知以送达之日或通知书中规定的生效之日起生效，两者中以较迟之日为准。</w:t>
      </w:r>
      <w:r/>
    </w:p>
    <w:p>
      <w:pPr>
        <w:numPr>
          <w:ilvl w:val="0"/>
          <w:numId w:val="4"/>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合同未尽事项</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23.1合同未尽事项见</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23.2 合同附件与合同正文具有同等的法律效力。</w:t>
      </w:r>
      <w:bookmarkStart w:id="19" w:name="_Toc20313"/>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23.3 甲方保留对合同修改和完善的权利。</w:t>
      </w:r>
      <w:r/>
    </w:p>
    <w:p>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jc w:val="center"/>
        <w:keepLines/>
        <w:keepNext/>
        <w:spacing w:line="360" w:lineRule="auto"/>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第三节 政府采购合同专用条款</w:t>
      </w:r>
      <w:bookmarkEnd w:id="19"/>
      <w:r/>
      <w:r/>
    </w:p>
    <w:tbl>
      <w:tblPr>
        <w:tblStyle w:val="759"/>
        <w:tblW w:w="9066"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36"/>
        <w:gridCol w:w="2520"/>
        <w:gridCol w:w="4710"/>
      </w:tblGrid>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联合体具体要求</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不接受联合体</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第1.2（7）项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其他术语解释</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履约验收中甲方提出异议或作出说明的期限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如有质量异议，乙方应在接到甲方异议的3天内做出书面答复，逾期则视为乙方同意甲方提出的异议和处理意见</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第4.6款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约定甲方承担的其他义务和责任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（1）尊重乙方的正当合法权益，按照合同约定的条件，按时支付款项；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（2）接收货物的义务；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（3）根据合同约定的标准和时间，验收货物的义务；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（4）如发生验收不通过，返厂维修、退货时，有相关退货及重新验收的义务；</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第5.4款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约定乙方承担的其他义务和责任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1、乙方应按招标文件规定的时间向甲方提供使用货物的有关技术资料。</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2、乙方交货前应对产品作出全面检查和对验收文件进行整理，并列出清单，作为甲方收货验收和使用的技术条件依据，检验的结果应随货物交甲方。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应按招标文件规定的货物性能、技术要求、质量标准向甲方提供未经使用的全新产品。乙方需在货物定制（生产）2日前将中标项目所需供货技术参数、数量等报给甲方审核确认，如未经甲方许可进行生产，甲方有权拒绝其供货，且可以要求乙方赔偿给甲方造成的损失。</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rPr>
              <w:t xml:space="preserve">必须安排人员参与安装实施，进场安装实施人员在本项目履约期间具有人身意外伤害险；在安装实施中要严格按行业规定进行安装实施，若出现任何安全事故，责任由乙方自行承担。</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5、乙方必须把握项目进度、质量把控、产品验收、包装运输、指导安装、调试及验收等，有实验室设备安装、相关软件运行维护等经验，及时与甲方对接工作，指导项目团队成员认真完成每一项工作。</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第6.1款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履行合同义务的顺序</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按照国家法律法规要求执行</w:t>
            </w:r>
            <w:r/>
          </w:p>
        </w:tc>
      </w:tr>
      <w:tr>
        <w:trPr>
          <w:trHeight w:val="667"/>
        </w:trPr>
        <w:tc>
          <w:tcPr>
            <w:tcW w:w="1836"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绿色环保</w:t>
            </w:r>
            <w:r/>
          </w:p>
        </w:tc>
      </w:tr>
      <w:tr>
        <w:trPr>
          <w:trHeight w:val="667"/>
        </w:trPr>
        <w:tc>
          <w:tcPr>
            <w:tcW w:w="1836"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指定现场</w:t>
            </w:r>
            <w:r/>
          </w:p>
        </w:tc>
        <w:tc>
          <w:tcPr>
            <w:tcW w:w="4710" w:type="dxa"/>
            <w:vAlign w:val="center"/>
            <w:textDirection w:val="lrTb"/>
            <w:noWrap w:val="false"/>
          </w:tcPr>
          <w:p>
            <w:pP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连云港开放大学</w:t>
            </w:r>
            <w:r/>
          </w:p>
        </w:tc>
      </w:tr>
      <w:tr>
        <w:trPr>
          <w:trHeight w:val="502"/>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1、使用说明书、质量检验证明书、随配附件和工具以及清单一并附于货物内。</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2、乙方在货物发运手续办理完毕后24小时内或货到甲方48小时前通知甲方，以准备接货。</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3、货物在交付甲方前发生的风险均由乙方负责。</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4、货物在规定的交付期限内由乙方送达甲方指定的地点视为交付，乙方同时需通知甲方货物已送达。</w:t>
            </w:r>
            <w:r/>
          </w:p>
        </w:tc>
      </w:tr>
      <w:tr>
        <w:trPr>
          <w:trHeight w:val="66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保险要求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第8.2（1）项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质量保证期</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3年（以验收合格之日起计算）</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货物质量缺陷响应时间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bookmarkStart w:id="20" w:name="auto_fouce_13"/>
            <w:r>
              <w:rPr>
                <w:rFonts w:hint="eastAsia" w:ascii="宋体" w:hAnsi="宋体" w:eastAsia="宋体" w:cs="宋体"/>
                <w:color w:val="auto"/>
                <w:sz w:val="24"/>
                <w:szCs w:val="24"/>
                <w:highlight w:val="none"/>
                <w:lang w:val="en-US" w:eastAsia="zh-CN" w:bidi="ar-SA"/>
              </w:rPr>
              <w:t xml:space="preserve">提供的货物在质保期内因产品本身的质量问题发生损坏，在接到甲方通知后24小时内赶到现场进行检测维修。如设备故障在七个工作日未能维修好，中标人须提供同型号的设备供甲方使用，直至设备维修好后方才取回。如不能维修，由乙方提供性能不低于故障产品的备用产品供甲方使用直至设备维修完成。在质保期内，乙方应对货物出现的质量及安全问题负责处理解决并承担一切费用。</w:t>
            </w:r>
            <w:bookmarkEnd w:id="20"/>
            <w:r>
              <w:rPr>
                <w:rFonts w:hint="eastAsia" w:ascii="宋体" w:hAnsi="宋体" w:eastAsia="宋体" w:cs="宋体"/>
                <w:color w:val="auto"/>
                <w:sz w:val="24"/>
                <w:szCs w:val="24"/>
                <w:highlight w:val="none"/>
                <w:lang w:val="en-US" w:eastAsia="zh-CN" w:bidi="ar-SA"/>
              </w:rPr>
              <w:t xml:space="preserve"> </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ind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第11.1款</w:t>
            </w:r>
            <w:r/>
          </w:p>
        </w:tc>
        <w:tc>
          <w:tcPr>
            <w:tcW w:w="2520"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其他应当保密的信息</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乙方应保证，甲方使用该货物或货物的任何一部分时，免受第三方提出的侵犯其专利权、商标权或其他知识产权的起诉。如发生此类纠纷，由乙方承担一切责任</w:t>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合同价款支付时间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履约保证金不予退还的情形</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(1)违反合同义务且未承担违约责任；(2)未按时履行违约责任；(3)未能履行与甲方签订的合同，且损失超出履约保证金金额</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履约保证金退还时间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完成合同范围内的所有内容，并经验收合格后，退还履约保证金。</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运行监督、维修期限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同质保期</w:t>
            </w:r>
            <w:r/>
          </w:p>
        </w:tc>
      </w:tr>
      <w:tr>
        <w:trPr>
          <w:trHeight w:val="409"/>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第14.1（5）项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货物回收的约定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乙方提供的其他服务</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应甲方要求，乙方应提供下列服务，所有服务费用已包含在合同总价中。</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1.安装</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1.1乙方必须向甲方提供合同货物所需的材料及技术资料以及组装/维修所需工具。</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1.2乙方已对甲方现场进行详细考察，完全了解现场的状况及环境要求，并承诺不因上述原因对甲方索赔。</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1.3在合同规定的期限内对所提供的标的物实行使用监督、维修服务的前提条件是该服务并不能免除乙方在质量保证期内所承担的义务。</w:t>
            </w:r>
            <w:r/>
          </w:p>
        </w:tc>
      </w:tr>
      <w:tr>
        <w:trPr>
          <w:trHeight w:val="481"/>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修理、重作、更换相关具体规定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乙方对所供货物与技术要求不符负有责任，如经检测证实不符或缺陷存在的，包括潜在的缺陷或使用不合适的材料，甲方可根据本</w:t>
            </w:r>
            <w:r>
              <w:rPr>
                <w:rFonts w:hint="eastAsia" w:ascii="宋体" w:hAnsi="宋体" w:eastAsia="宋体" w:cs="宋体"/>
                <w:color w:val="auto"/>
                <w:sz w:val="24"/>
                <w:szCs w:val="24"/>
                <w:highlight w:val="none"/>
                <w:lang w:val="en-US" w:eastAsia="zh-CN" w:bidi="ar-SA"/>
              </w:rPr>
              <w:t xml:space="preserve">合同有关质量保证或检验、安装的规定，在质量保证期内及时提出索赔，乙方同意甲方选择下述一种或多种结合的方法解决索赔事宜：1、乙方同意甲方退货，乙方承担由此发生的一切损失和费用，包括利息、银行手续费、运费、保险费、检验费、仓储费、装卸费以及为保管、维护和退回被拒收货物所发生的其他必要费用。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bookmarkStart w:id="21" w:name="auto_fouce_16"/>
            <w:r>
              <w:rPr>
                <w:rFonts w:hint="eastAsia" w:ascii="宋体" w:hAnsi="宋体" w:eastAsia="宋体" w:cs="宋体"/>
                <w:color w:val="auto"/>
                <w:sz w:val="24"/>
                <w:szCs w:val="24"/>
                <w:highlight w:val="none"/>
                <w:lang w:val="en-US" w:eastAsia="zh-CN" w:bidi="ar-SA"/>
              </w:rPr>
              <w:t xml:space="preserve">如质保期内同一部件出现三次以上质量问题，乙方除免费更换外需额外支付相当于该部件价值200%的质量处罚金。</w:t>
            </w:r>
            <w:bookmarkEnd w:id="21"/>
            <w:r>
              <w:rPr>
                <w:rFonts w:hint="eastAsia" w:ascii="宋体" w:hAnsi="宋体" w:eastAsia="宋体" w:cs="宋体"/>
                <w:color w:val="auto"/>
                <w:sz w:val="24"/>
                <w:szCs w:val="24"/>
                <w:highlight w:val="none"/>
                <w:lang w:val="en-US" w:eastAsia="zh-CN" w:bidi="ar-SA"/>
              </w:rPr>
              <w:t xml:space="preserve">3、乙方收到索赔通知后3天内，未给甲方答复的，视为索赔已被乙方接受。乙方未能在收到索赔通知后3天内，或征得甲方同意的延长期限内，按照甲方从上列方法中选择的方案解决索赔事宜的，甲方将有权从未付货款中扣回索赔金额，同时保留进一步要求索赔的权利。甲方有权优先选择解除合同并要求乙方支付合同总金额20%的违约金，且不排除同时主张损失赔偿的权利。若质量问题涉及安全隐患，乙方需按该批次货物价值的300%承担惩罚性赔偿责任。</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第15.2（2）项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迟延交货赔偿费</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bookmarkStart w:id="22" w:name="auto_fouce_17"/>
            <w:r>
              <w:rPr>
                <w:rFonts w:hint="eastAsia" w:ascii="宋体" w:hAnsi="宋体" w:eastAsia="宋体" w:cs="宋体"/>
                <w:color w:val="auto"/>
                <w:sz w:val="24"/>
                <w:szCs w:val="24"/>
                <w:highlight w:val="none"/>
                <w:u w:val="none"/>
                <w:lang w:val="en-US" w:eastAsia="zh-CN" w:bidi="ar-SA"/>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迟延货物对应合同金额的每日0.3%累加计算（不低于5000元/天），最高不超过迟延部分合同金额的30%，且误期不能超出5个工作日。一旦达此限期，甲方有权解除合同。</w:t>
            </w:r>
            <w:bookmarkEnd w:id="22"/>
            <w:r/>
            <w:r/>
          </w:p>
        </w:tc>
      </w:tr>
      <w:tr>
        <w:trPr>
          <w:trHeight w:val="55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逾期付款利息</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w:t>
            </w:r>
            <w:r/>
          </w:p>
        </w:tc>
      </w:tr>
      <w:tr>
        <w:trPr>
          <w:trHeight w:val="876"/>
        </w:trPr>
        <w:tc>
          <w:tcPr>
            <w:tcBorders>
              <w:bottom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第15.4款</w:t>
            </w:r>
            <w:r/>
          </w:p>
        </w:tc>
        <w:tc>
          <w:tcPr>
            <w:tcBorders>
              <w:left w:val="single" w:color="auto" w:sz="2" w:space="0"/>
              <w:bottom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其他违约责任</w:t>
            </w:r>
            <w:r/>
          </w:p>
        </w:tc>
        <w:tc>
          <w:tcPr>
            <w:tcBorders>
              <w:left w:val="single" w:color="auto" w:sz="2" w:space="0"/>
              <w:bottom w:val="single" w:color="auto" w:sz="2" w:space="0"/>
            </w:tcBorders>
            <w:tcW w:w="4710" w:type="dxa"/>
            <w:vAlign w:val="center"/>
            <w:textDirection w:val="lrTb"/>
            <w:noWrap w:val="false"/>
          </w:tcPr>
          <w:p>
            <w:pPr>
              <w:jc w:val="left"/>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因乙方原因造成逾期交付货物的，乙方应按逾期交货总额每日千分之三向甲方支付违约金，由甲方从待付合同款中扣除，如逾期超过约定日期3个工作日不能交货的，甲方有权扣除履约保证金并解除本合同。乙方因逾期交货或因其他违约行为导致甲方解除合同的，乙方应向甲方支付合同总值5%的违约金，如造成甲方损失超过违约金的，超出部分由乙方继续承担赔偿责任</w:t>
            </w:r>
            <w:r/>
          </w:p>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并承担由此给甲方造成的全部损失。</w:t>
            </w:r>
            <w:r/>
          </w:p>
        </w:tc>
      </w:tr>
      <w:tr>
        <w:trPr>
          <w:trHeight w:val="90"/>
        </w:trPr>
        <w:tc>
          <w:tcPr>
            <w:tcBorders>
              <w:top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第19.2款</w:t>
            </w:r>
            <w:r/>
          </w:p>
        </w:tc>
        <w:tc>
          <w:tcPr>
            <w:tcBorders>
              <w:top w:val="single" w:color="auto" w:sz="2" w:space="0"/>
              <w:left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解决争议的方法</w:t>
            </w:r>
            <w:r/>
          </w:p>
        </w:tc>
        <w:tc>
          <w:tcPr>
            <w:tcBorders>
              <w:top w:val="single" w:color="auto" w:sz="2" w:space="0"/>
              <w:left w:val="single" w:color="auto" w:sz="2" w:space="0"/>
            </w:tcBorders>
            <w:tcW w:w="4710"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bidi="ar-SA"/>
              </w:rPr>
              <w:t xml:space="preserve"> 2 </w:t>
            </w:r>
            <w:r>
              <w:rPr>
                <w:rFonts w:hint="eastAsia" w:ascii="宋体" w:hAnsi="宋体" w:eastAsia="宋体" w:cs="宋体"/>
                <w:b w:val="0"/>
                <w:bCs w:val="0"/>
                <w:iCs/>
                <w:color w:val="auto"/>
                <w:sz w:val="24"/>
                <w:szCs w:val="24"/>
                <w:highlight w:val="none"/>
                <w:lang w:val="en-US" w:eastAsia="zh-CN" w:bidi="ar-SA"/>
              </w:rPr>
              <w:t xml:space="preserve">种方式解决：</w:t>
            </w:r>
            <w:r/>
          </w:p>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（1）向</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仲裁委员会申请仲裁，仲裁地点为</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w:t>
            </w:r>
            <w:r/>
          </w:p>
          <w:p>
            <w:pPr>
              <w:ind w:firstLine="0"/>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（2）向</w:t>
            </w:r>
            <w:r>
              <w:rPr>
                <w:rFonts w:hint="eastAsia" w:ascii="宋体" w:hAnsi="宋体" w:eastAsia="宋体" w:cs="宋体"/>
                <w:b w:val="0"/>
                <w:bCs w:val="0"/>
                <w:iCs/>
                <w:color w:val="auto"/>
                <w:sz w:val="24"/>
                <w:szCs w:val="24"/>
                <w:highlight w:val="none"/>
                <w:u w:val="single"/>
                <w:lang w:val="en-US" w:eastAsia="zh-CN" w:bidi="ar-SA"/>
              </w:rPr>
              <w:t xml:space="preserve">连云港市</w:t>
            </w:r>
            <w:r>
              <w:rPr>
                <w:rFonts w:hint="eastAsia" w:ascii="宋体" w:hAnsi="宋体" w:eastAsia="宋体" w:cs="宋体"/>
                <w:b w:val="0"/>
                <w:bCs w:val="0"/>
                <w:iCs/>
                <w:color w:val="auto"/>
                <w:sz w:val="24"/>
                <w:szCs w:val="24"/>
                <w:highlight w:val="none"/>
                <w:lang w:val="en-US" w:eastAsia="zh-CN" w:bidi="ar-SA"/>
              </w:rPr>
              <w:t xml:space="preserve">人民法院起诉。</w:t>
            </w:r>
            <w:r/>
          </w:p>
        </w:tc>
      </w:tr>
      <w:tr>
        <w:trPr>
          <w:trHeight w:val="548"/>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第23.1款</w:t>
            </w:r>
            <w:r/>
          </w:p>
        </w:tc>
        <w:tc>
          <w:tcPr>
            <w:tcW w:w="2520"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其他专用条款</w:t>
            </w:r>
            <w:r/>
          </w:p>
        </w:tc>
        <w:tc>
          <w:tcPr>
            <w:tcW w:w="4710" w:type="dxa"/>
            <w:vAlign w:val="center"/>
            <w:textDirection w:val="lrTb"/>
            <w:noWrap w:val="false"/>
          </w:tcPr>
          <w:p>
            <w:pPr>
              <w:jc w:val="both"/>
              <w:keepLines w:val="0"/>
              <w:keepNext w:val="0"/>
              <w:pageBreakBefore w:val="0"/>
              <w:spacing w:after="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ind w:left="0" w:right="0"/>
        <w:jc w:val="left"/>
        <w:pageBreakBefore w:val="0"/>
        <w:spacing w:line="49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49"/>
        <w:ind w:left="0" w:right="0"/>
        <w:jc w:val="center"/>
        <w:keepLines/>
        <w:keepNext/>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15"/>
      <w:r/>
      <w:r/>
    </w:p>
    <w:p>
      <w:pPr>
        <w:ind w:firstLine="480"/>
        <w:jc w:val="left"/>
        <w:spacing w:line="500" w:lineRule="exact"/>
        <w:rPr>
          <w:rFonts w:hint="eastAsia" w:ascii="宋体" w:hAnsi="宋体" w:eastAsia="宋体" w:cs="宋体"/>
          <w:strike w:val="0"/>
          <w:color w:val="auto"/>
          <w:sz w:val="24"/>
          <w:szCs w:val="24"/>
          <w:highlight w:val="none"/>
        </w:rPr>
      </w:pPr>
      <w:r>
        <w:rPr>
          <w:rFonts w:hint="eastAsia" w:ascii="宋体" w:hAnsi="宋体" w:eastAsia="宋体" w:cs="宋体"/>
          <w:b/>
          <w:bCs/>
          <w:color w:val="auto"/>
          <w:sz w:val="24"/>
          <w:szCs w:val="24"/>
          <w:highlight w:val="none"/>
        </w:rPr>
        <w:t xml:space="preserve">说明：本项目属性为货物，</w:t>
      </w:r>
      <w:r>
        <w:rPr>
          <w:rFonts w:hint="eastAsia" w:ascii="宋体" w:hAnsi="宋体" w:eastAsia="宋体" w:cs="宋体"/>
          <w:b/>
          <w:bCs/>
          <w:strike w:val="0"/>
          <w:color w:val="auto"/>
          <w:sz w:val="24"/>
          <w:szCs w:val="24"/>
          <w:highlight w:val="none"/>
        </w:rPr>
        <w:t xml:space="preserve">采购标的对应的中小企业划分标准所属行业</w:t>
      </w:r>
      <w:r>
        <w:rPr>
          <w:rFonts w:hint="eastAsia" w:ascii="宋体" w:hAnsi="宋体" w:eastAsia="宋体" w:cs="宋体"/>
          <w:b/>
          <w:bCs/>
          <w:strike w:val="0"/>
          <w:color w:val="auto"/>
          <w:sz w:val="24"/>
          <w:szCs w:val="24"/>
          <w:highlight w:val="none"/>
          <w:lang w:val="en-US" w:eastAsia="zh-CN"/>
        </w:rPr>
        <w:t xml:space="preserve">为软件和信息技术服务业</w:t>
      </w:r>
      <w:r>
        <w:rPr>
          <w:rFonts w:hint="eastAsia" w:ascii="宋体" w:hAnsi="宋体" w:eastAsia="宋体" w:cs="宋体"/>
          <w:b/>
          <w:bCs/>
          <w:strike w:val="0"/>
          <w:color w:val="auto"/>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根据《政府采购需求管理办法》等有关规定，</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确定采购需求。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2、本项目需求中标注★号的部分为实质性要求和条件（由采购人根据实际情况设置），投标人必须作出满足或者优于原要求和条件的响应，否则投标无效。</w:t>
      </w:r>
      <w:r/>
    </w:p>
    <w:p>
      <w:pPr>
        <w:ind w:firstLine="482"/>
        <w:jc w:val="left"/>
        <w:spacing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根据《关于印发中小企业划型标准规定的通知》（工信部联企业〔2011〕300号）规定，（采购文件中明确的所属行业）</w:t>
      </w:r>
      <w:r>
        <w:rPr>
          <w:rFonts w:hint="eastAsia" w:ascii="宋体" w:hAnsi="宋体" w:eastAsia="宋体" w:cs="宋体"/>
          <w:color w:val="auto"/>
          <w:sz w:val="24"/>
          <w:szCs w:val="24"/>
          <w:highlight w:val="none"/>
          <w:lang w:val="en-US" w:eastAsia="zh-CN" w:bidi="ar-SA"/>
        </w:rPr>
        <w:t xml:space="preserve">行业划型标准：</w:t>
      </w:r>
      <w:r/>
    </w:p>
    <w:p>
      <w:pPr>
        <w:ind w:firstLine="480"/>
        <w:jc w:val="left"/>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特别提醒：为落实政府采购中实施本国产品标准及相关政策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1.本项目对采购本国产品给予政策支持，具体内容见招标文件“第二章”。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5"/>
        </w:numPr>
        <w:ind w:firstLine="0"/>
        <w:jc w:val="both"/>
        <w:keepLines/>
        <w:keepNext/>
        <w:spacing w:before="100" w:beforeAutospacing="0" w:after="90" w:afterAutospacing="0" w:line="360" w:lineRule="auto"/>
        <w:widowControl w:val="off"/>
        <w:rPr>
          <w:rFonts w:hint="eastAsia" w:ascii="宋体" w:hAnsi="宋体" w:eastAsia="宋体" w:cs="宋体"/>
          <w:b/>
          <w:color w:val="auto"/>
          <w:sz w:val="32"/>
          <w:szCs w:val="22"/>
          <w:highlight w:val="none"/>
          <w:lang w:val="en-US" w:eastAsia="zh-CN" w:bidi="ar-SA"/>
        </w:rPr>
        <w:outlineLvl w:val="0"/>
      </w:pPr>
      <w:r>
        <w:rPr>
          <w:rFonts w:hint="eastAsia" w:ascii="宋体" w:hAnsi="宋体" w:eastAsia="宋体" w:cs="宋体"/>
          <w:b/>
          <w:color w:val="auto"/>
          <w:sz w:val="32"/>
          <w:szCs w:val="22"/>
          <w:highlight w:val="none"/>
          <w:lang w:val="en-US" w:eastAsia="zh-CN" w:bidi="ar-SA"/>
        </w:rPr>
        <w:t xml:space="preserve">项目概况</w:t>
      </w:r>
      <w:r/>
    </w:p>
    <w:p>
      <w:pPr>
        <w:ind w:firstLine="480"/>
        <w:spacing w:after="16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以整合校园内各类业务系统数据资源，对数据进行采集、计算、存储、加工，同时统一标准和口径，形成标准数据，再进行存储，全面梳理，确认来源流程，建立数据中心，解决“数据孤岛”问题，完成数据清洗与治理，实现数据归集和挖掘，为学校的办公、学管、教学、后勤提供方便快捷的信息服务，该项目建成后，服务校内教师生，校外社区教育、老年教育等在事务办理、学习、生活等方面一网通办；对于校园管理层面，解决数据孤岛、信息闭塞、数据流转等陈旧问题。并为决策提供数据支撑。</w:t>
      </w:r>
      <w:r/>
    </w:p>
    <w:p>
      <w:pPr>
        <w:numPr>
          <w:ilvl w:val="1"/>
          <w:numId w:val="5"/>
        </w:numPr>
        <w:ind w:firstLine="0"/>
        <w:jc w:val="both"/>
        <w:keepLines/>
        <w:keepNext/>
        <w:spacing w:before="140" w:beforeAutospacing="0" w:after="140" w:afterAutospacing="0" w:line="413" w:lineRule="auto"/>
        <w:widowControl w:val="off"/>
        <w:rPr>
          <w:rFonts w:hint="eastAsia" w:ascii="宋体" w:hAnsi="宋体" w:eastAsia="宋体" w:cs="宋体"/>
          <w:b/>
          <w:color w:val="auto"/>
          <w:sz w:val="30"/>
          <w:szCs w:val="22"/>
          <w:highlight w:val="none"/>
          <w:lang w:val="en-US" w:eastAsia="zh-CN" w:bidi="ar-SA"/>
        </w:rPr>
        <w:outlineLvl w:val="1"/>
      </w:pPr>
      <w:r>
        <w:rPr>
          <w:rFonts w:hint="eastAsia" w:ascii="宋体" w:hAnsi="宋体" w:eastAsia="宋体" w:cs="宋体"/>
          <w:b/>
          <w:color w:val="auto"/>
          <w:sz w:val="30"/>
          <w:szCs w:val="22"/>
          <w:highlight w:val="none"/>
          <w:lang w:val="en-US" w:eastAsia="zh-CN" w:bidi="ar-SA"/>
        </w:rPr>
        <w:t xml:space="preserve">项目要求</w:t>
      </w:r>
      <w:r/>
    </w:p>
    <w:p>
      <w:pPr>
        <w:ind w:firstLine="482"/>
        <w:keepLines w:val="0"/>
        <w:keepNext w:val="0"/>
        <w:pageBreakBefore w:val="0"/>
        <w:spacing w:line="360" w:lineRule="auto"/>
        <w:widowControl w:val="off"/>
        <w:rPr>
          <w:rFonts w:hint="eastAsia" w:ascii="宋体" w:hAnsi="宋体" w:eastAsia="宋体" w:cs="宋体"/>
          <w:b/>
          <w:bCs/>
          <w:i w:val="0"/>
          <w:iCs w:val="0"/>
          <w:caps w:val="0"/>
          <w:color w:val="auto"/>
          <w:spacing w:val="0"/>
          <w:sz w:val="24"/>
          <w:szCs w:val="24"/>
          <w:highlight w:val="none"/>
          <w:u w:val="single"/>
          <w:shd w:val="clear" w:color="auto" w:fill="ffffff"/>
        </w:rPr>
      </w:pPr>
      <w:r>
        <w:rPr>
          <w:rFonts w:hint="eastAsia" w:ascii="宋体" w:hAnsi="宋体" w:eastAsia="宋体" w:cs="宋体"/>
          <w:b/>
          <w:bCs/>
          <w:i w:val="0"/>
          <w:iCs w:val="0"/>
          <w:color w:val="auto"/>
          <w:sz w:val="24"/>
          <w:szCs w:val="24"/>
          <w:highlight w:val="none"/>
          <w:u w:val="single"/>
        </w:rPr>
        <w:t xml:space="preserve">★</w:t>
      </w:r>
      <w:r>
        <w:rPr>
          <w:rFonts w:hint="eastAsia" w:ascii="宋体" w:hAnsi="宋体" w:eastAsia="宋体" w:cs="宋体"/>
          <w:b/>
          <w:bCs/>
          <w:i w:val="0"/>
          <w:iCs w:val="0"/>
          <w:color w:val="auto"/>
          <w:sz w:val="24"/>
          <w:szCs w:val="24"/>
          <w:highlight w:val="none"/>
          <w:u w:val="single"/>
          <w:lang w:val="en-US" w:eastAsia="zh-CN"/>
        </w:rPr>
        <w:t xml:space="preserve">1.1</w:t>
      </w:r>
      <w:r>
        <w:rPr>
          <w:rFonts w:hint="eastAsia" w:ascii="宋体" w:hAnsi="宋体" w:eastAsia="宋体" w:cs="宋体"/>
          <w:b/>
          <w:bCs/>
          <w:i w:val="0"/>
          <w:iCs w:val="0"/>
          <w:caps w:val="0"/>
          <w:color w:val="auto"/>
          <w:spacing w:val="0"/>
          <w:sz w:val="24"/>
          <w:szCs w:val="24"/>
          <w:highlight w:val="none"/>
          <w:u w:val="single"/>
          <w:shd w:val="clear" w:color="auto" w:fill="ffffff"/>
        </w:rPr>
        <w:t xml:space="preserve">根据《全国职业教育数字基座（高职）》《全国高职管理系统》填报要求进行数据治理，输出由相关业务系统产生的数据，以微服务表单的形式进行呈现；表单支持手动添加、导出、导入、筛选等操作。（投标人提供承诺函并加盖投标人公章，承诺函格式自拟）</w:t>
      </w:r>
      <w:r/>
    </w:p>
    <w:p>
      <w:pPr>
        <w:ind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single"/>
          <w:lang w:val="en-US" w:eastAsia="zh-CN" w:bidi="ar-SA"/>
        </w:rPr>
      </w:pPr>
      <w:r>
        <w:rPr>
          <w:rFonts w:hint="eastAsia" w:ascii="宋体" w:hAnsi="宋体" w:eastAsia="宋体" w:cs="宋体"/>
          <w:b/>
          <w:bCs/>
          <w:i w:val="0"/>
          <w:iCs w:val="0"/>
          <w:caps w:val="0"/>
          <w:color w:val="auto"/>
          <w:spacing w:val="0"/>
          <w:sz w:val="24"/>
          <w:szCs w:val="24"/>
          <w:highlight w:val="none"/>
          <w:u w:val="single"/>
          <w:shd w:val="clear" w:color="auto" w:fill="ffffff"/>
        </w:rPr>
        <w:t xml:space="preserve"> ★1.2 各业务系统相关字典建设需符合《全国职业教育数字基座（高职）》、《全国高职管理系统》填报要求。（投标人提供承诺函并加盖投标人公章，承诺函格式自拟）</w:t>
      </w:r>
      <w:r/>
    </w:p>
    <w:p>
      <w:pPr>
        <w:ind w:firstLine="480"/>
        <w:jc w:val="left"/>
        <w:keepLines w:val="0"/>
        <w:keepNext w:val="0"/>
        <w:pageBreakBefore w:val="0"/>
        <w:spacing w:after="16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1.3投标人应对本项目的总体情况、工作难度、条件以及中标后有可能承担的风险、责任和义务做好充分准备；中标后不得因此提出修改投标报价或提出索赔等要求，不得以此为由拒绝签署合同或履行所约定的各项义务。在项目履约过程无法满足采购人实际需要的，造成的所有损失由中标人自行承担并承担一切法律责任。</w:t>
      </w:r>
      <w:r/>
    </w:p>
    <w:p>
      <w:pPr>
        <w:ind w:firstLine="480"/>
        <w:keepLines w:val="0"/>
        <w:keepNext w:val="0"/>
        <w:pageBreakBefore w:val="0"/>
        <w:spacing w:after="160"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1.4中标人需积极主动地配合采购人进行相关检测及施工完毕后验收，确保通过检测和验收，若出现检测不合格或验收不合格的情况，中标人需要重新返工直至检测通过并且验收合格，由此导致的返工费等相关其他费用，由中标人自行承担，并且采购人有权从款项中扣除。</w:t>
      </w:r>
      <w:r/>
    </w:p>
    <w:p>
      <w:pPr>
        <w:ind w:firstLine="480"/>
        <w:keepLines w:val="0"/>
        <w:keepNext w:val="0"/>
        <w:pageBreakBefore w:val="0"/>
        <w:spacing w:after="160"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1.5中标人应综合考虑与本项目有关的所有因素与风险，若出现缺项、漏项等情况，由中标人自行承担。</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1.6任何忽视或误解项目基本情况，而使采购人在项目实施过程中蒙受的损失，将由中标人进行赔偿。</w:t>
      </w:r>
      <w:r/>
    </w:p>
    <w:p>
      <w:pPr>
        <w:pStyle w:val="760"/>
        <w:numPr>
          <w:ilvl w:val="0"/>
          <w:numId w:val="0"/>
        </w:numPr>
        <w:ind w:firstLine="482"/>
        <w:spacing w:line="360" w:lineRule="auto"/>
        <w:rPr>
          <w:rFonts w:hint="eastAsia" w:ascii="Times New Roman" w:hAnsi="Times New Roman"/>
          <w:b/>
          <w:bCs/>
          <w:i w:val="0"/>
          <w:iCs w:val="0"/>
          <w:color w:val="auto"/>
          <w:sz w:val="24"/>
          <w:szCs w:val="24"/>
          <w:highlight w:val="none"/>
          <w:u w:val="single"/>
        </w:rPr>
      </w:pPr>
      <w:r>
        <w:rPr>
          <w:rFonts w:hint="eastAsia" w:ascii="宋体" w:hAnsi="宋体" w:eastAsia="宋体" w:cs="宋体"/>
          <w:b/>
          <w:bCs/>
          <w:i w:val="0"/>
          <w:iCs w:val="0"/>
          <w:caps w:val="0"/>
          <w:color w:val="auto"/>
          <w:spacing w:val="0"/>
          <w:sz w:val="24"/>
          <w:szCs w:val="24"/>
          <w:highlight w:val="none"/>
          <w:u w:val="single"/>
          <w:shd w:val="clear" w:color="auto" w:fill="ffffff"/>
        </w:rPr>
        <w:t xml:space="preserve">★</w:t>
      </w:r>
      <w:r>
        <w:rPr>
          <w:rFonts w:hint="eastAsia" w:ascii="宋体" w:hAnsi="宋体" w:cs="宋体"/>
          <w:b/>
          <w:bCs/>
          <w:i w:val="0"/>
          <w:iCs w:val="0"/>
          <w:caps w:val="0"/>
          <w:color w:val="auto"/>
          <w:spacing w:val="0"/>
          <w:sz w:val="24"/>
          <w:szCs w:val="24"/>
          <w:highlight w:val="none"/>
          <w:u w:val="single"/>
          <w:shd w:val="clear" w:color="auto" w:fill="ffffff"/>
          <w:lang w:val="en-US" w:eastAsia="zh-CN"/>
        </w:rPr>
        <w:t xml:space="preserve">1.7</w:t>
      </w:r>
      <w:r>
        <w:rPr>
          <w:rFonts w:hint="eastAsia" w:ascii="Times New Roman" w:hAnsi="Times New Roman"/>
          <w:b/>
          <w:bCs/>
          <w:i w:val="0"/>
          <w:iCs w:val="0"/>
          <w:color w:val="auto"/>
          <w:sz w:val="24"/>
          <w:szCs w:val="24"/>
          <w:highlight w:val="none"/>
          <w:u w:val="single"/>
          <w:lang w:val="en-US" w:eastAsia="zh-CN"/>
        </w:rPr>
        <w:t xml:space="preserve">根据</w:t>
      </w:r>
      <w:r>
        <w:rPr>
          <w:rFonts w:hint="eastAsia" w:ascii="Times New Roman" w:hAnsi="Times New Roman"/>
          <w:b/>
          <w:bCs/>
          <w:i w:val="0"/>
          <w:iCs w:val="0"/>
          <w:color w:val="auto"/>
          <w:sz w:val="24"/>
          <w:szCs w:val="24"/>
          <w:highlight w:val="none"/>
          <w:u w:val="single"/>
        </w:rPr>
        <w:t xml:space="preserve">（连数发〔2024〕30 号关于启用市政务云服务采购（2024 年） 框架协议征集结果的通知）</w:t>
      </w:r>
      <w:r>
        <w:rPr>
          <w:rFonts w:hint="eastAsia" w:ascii="Times New Roman" w:hAnsi="Times New Roman"/>
          <w:b/>
          <w:bCs/>
          <w:i w:val="0"/>
          <w:iCs w:val="0"/>
          <w:color w:val="auto"/>
          <w:sz w:val="24"/>
          <w:szCs w:val="24"/>
          <w:highlight w:val="none"/>
          <w:u w:val="single"/>
          <w:lang w:eastAsia="zh-CN"/>
        </w:rPr>
        <w:t xml:space="preserve">，</w:t>
      </w:r>
      <w:r>
        <w:rPr>
          <w:rFonts w:hint="eastAsia" w:ascii="Times New Roman" w:hAnsi="Times New Roman"/>
          <w:b/>
          <w:bCs/>
          <w:i w:val="0"/>
          <w:iCs w:val="0"/>
          <w:color w:val="auto"/>
          <w:sz w:val="24"/>
          <w:szCs w:val="24"/>
          <w:highlight w:val="none"/>
          <w:u w:val="single"/>
          <w:lang w:val="en-US" w:eastAsia="zh-CN"/>
        </w:rPr>
        <w:t xml:space="preserve">投标人</w:t>
      </w:r>
      <w:r>
        <w:rPr>
          <w:rFonts w:hint="eastAsia" w:ascii="Times New Roman" w:hAnsi="Times New Roman"/>
          <w:b/>
          <w:bCs/>
          <w:i w:val="0"/>
          <w:iCs w:val="0"/>
          <w:color w:val="auto"/>
          <w:sz w:val="24"/>
          <w:szCs w:val="24"/>
          <w:highlight w:val="none"/>
          <w:u w:val="single"/>
        </w:rPr>
        <w:t xml:space="preserve">提供的软件系统可以兼容和对接现有的市政务云的资源部署运行，且最终产品以达到甲方需求为准。（投标人提供承诺函并加盖投标人公章，承诺函格式自拟）</w:t>
      </w:r>
      <w:r/>
    </w:p>
    <w:p>
      <w:pPr>
        <w:ind w:firstLine="480"/>
        <w:keepLines w:val="0"/>
        <w:keepNext w:val="0"/>
        <w:pageBreakBefore w:val="0"/>
        <w:spacing w:after="160" w:line="360" w:lineRule="auto"/>
        <w:widowControl w:val="off"/>
        <w:rPr>
          <w:rFonts w:hint="default" w:ascii="宋体" w:hAnsi="宋体" w:eastAsia="宋体" w:cs="宋体"/>
          <w:color w:val="auto"/>
          <w:sz w:val="24"/>
          <w:highlight w:val="none"/>
          <w:lang w:val="en-US" w:eastAsia="zh-CN" w:bidi="ar-SA"/>
        </w:rPr>
      </w:pPr>
      <w:r>
        <w:rPr>
          <w:rFonts w:hint="eastAsia" w:eastAsia="宋体" w:cs="Times New Roman"/>
          <w:b w:val="0"/>
          <w:bCs w:val="0"/>
          <w:i w:val="0"/>
          <w:iCs w:val="0"/>
          <w:color w:val="auto"/>
          <w:sz w:val="24"/>
          <w:szCs w:val="24"/>
          <w:highlight w:val="none"/>
          <w:u w:val="single"/>
          <w:lang w:val="en-US" w:eastAsia="zh-CN"/>
        </w:rPr>
        <w:t xml:space="preserve">2、</w:t>
      </w:r>
      <w:r>
        <w:rPr>
          <w:rFonts w:hint="default" w:eastAsia="宋体" w:cs="Times New Roman"/>
          <w:b w:val="0"/>
          <w:bCs w:val="0"/>
          <w:i w:val="0"/>
          <w:iCs w:val="0"/>
          <w:color w:val="auto"/>
          <w:sz w:val="24"/>
          <w:szCs w:val="24"/>
          <w:highlight w:val="none"/>
          <w:u w:val="single"/>
        </w:rPr>
        <w:t xml:space="preserve">核心产品为：智慧校园全量数据中台及数据治理、微服务基础平台及配套应用、智</w:t>
      </w:r>
      <w:r>
        <w:rPr>
          <w:rFonts w:hint="default" w:ascii="宋体" w:hAnsi="宋体" w:eastAsia="宋体" w:cs="宋体"/>
          <w:color w:val="auto"/>
          <w:sz w:val="24"/>
          <w:highlight w:val="none"/>
          <w:lang w:val="en-US" w:eastAsia="zh-CN" w:bidi="ar-SA"/>
        </w:rPr>
        <w:t xml:space="preserve">慧教学系统、教务管理系统、图书馆管理系统、专业教学资源库。</w:t>
      </w:r>
      <w:r/>
    </w:p>
    <w:p>
      <w:pPr>
        <w:ind w:firstLine="482"/>
        <w:keepLines w:val="0"/>
        <w:keepNext w:val="0"/>
        <w:pageBreakBefore w:val="0"/>
        <w:spacing w:after="160" w:line="360" w:lineRule="auto"/>
        <w:widowControl w:val="off"/>
        <w:rPr>
          <w:rFonts w:hint="default" w:ascii="宋体" w:hAnsi="宋体" w:eastAsia="宋体" w:cs="宋体"/>
          <w:b/>
          <w:bCs/>
          <w:color w:val="auto"/>
          <w:sz w:val="24"/>
          <w:highlight w:val="none"/>
          <w:u w:val="single"/>
          <w:lang w:val="en-US" w:eastAsia="zh-CN" w:bidi="ar-SA"/>
        </w:rPr>
      </w:pPr>
      <w:r>
        <w:rPr>
          <w:rFonts w:hint="eastAsia" w:ascii="宋体" w:hAnsi="宋体" w:eastAsia="宋体" w:cs="宋体"/>
          <w:b/>
          <w:bCs/>
          <w:i w:val="0"/>
          <w:iCs w:val="0"/>
          <w:caps w:val="0"/>
          <w:color w:val="auto"/>
          <w:spacing w:val="0"/>
          <w:sz w:val="24"/>
          <w:szCs w:val="24"/>
          <w:highlight w:val="none"/>
          <w:u w:val="single"/>
          <w:shd w:val="clear" w:color="auto" w:fill="ffffff"/>
        </w:rPr>
        <w:t xml:space="preserve">★</w:t>
      </w:r>
      <w:r>
        <w:rPr>
          <w:rFonts w:hint="eastAsia" w:ascii="宋体" w:hAnsi="宋体" w:eastAsia="宋体" w:cs="宋体"/>
          <w:b/>
          <w:bCs/>
          <w:color w:val="auto"/>
          <w:sz w:val="24"/>
          <w:highlight w:val="none"/>
          <w:u w:val="single"/>
          <w:lang w:val="en-US" w:eastAsia="zh-CN" w:bidi="ar-SA"/>
        </w:rPr>
        <w:t xml:space="preserve">3、本</w:t>
      </w:r>
      <w:r>
        <w:rPr>
          <w:rFonts w:hint="default" w:ascii="宋体" w:hAnsi="宋体" w:eastAsia="宋体" w:cs="宋体"/>
          <w:b/>
          <w:bCs/>
          <w:color w:val="auto"/>
          <w:sz w:val="24"/>
          <w:highlight w:val="none"/>
          <w:u w:val="single"/>
          <w:lang w:val="en-US" w:eastAsia="zh-CN" w:bidi="ar-SA"/>
        </w:rPr>
        <w:t xml:space="preserve">项目整体系统安全性均达到等级保护二级</w:t>
      </w:r>
      <w:r>
        <w:rPr>
          <w:rFonts w:hint="eastAsia" w:ascii="宋体" w:hAnsi="宋体" w:eastAsia="宋体" w:cs="宋体"/>
          <w:b/>
          <w:bCs/>
          <w:color w:val="auto"/>
          <w:sz w:val="24"/>
          <w:highlight w:val="none"/>
          <w:u w:val="single"/>
          <w:lang w:val="en-US" w:eastAsia="zh-CN" w:bidi="ar-SA"/>
        </w:rPr>
        <w:t xml:space="preserve">的</w:t>
      </w:r>
      <w:r>
        <w:rPr>
          <w:rFonts w:hint="default" w:ascii="宋体" w:hAnsi="宋体" w:eastAsia="宋体" w:cs="宋体"/>
          <w:b/>
          <w:bCs/>
          <w:color w:val="auto"/>
          <w:sz w:val="24"/>
          <w:highlight w:val="none"/>
          <w:u w:val="single"/>
          <w:lang w:val="en-US" w:eastAsia="zh-CN" w:bidi="ar-SA"/>
        </w:rPr>
        <w:t xml:space="preserve">要求。(投标人提供承诺函并加盖投标人公章，承诺函格式自拟)。</w:t>
      </w:r>
      <w:r/>
    </w:p>
    <w:p>
      <w:pPr>
        <w:pStyle w:val="760"/>
        <w:numPr>
          <w:ilvl w:val="0"/>
          <w:numId w:val="0"/>
        </w:numPr>
        <w:rPr>
          <w:rFonts w:hint="eastAsia" w:ascii="Times New Roman" w:hAnsi="Times New Roman"/>
          <w:b/>
          <w:bCs/>
          <w:i/>
          <w:iCs/>
          <w:color w:val="auto"/>
          <w:sz w:val="24"/>
          <w:szCs w:val="24"/>
          <w:highlight w:val="none"/>
          <w:u w:val="single"/>
          <w:lang w:val="en-US" w:eastAsia="zh-CN"/>
        </w:rPr>
      </w:pPr>
      <w:r>
        <w:rPr>
          <w:rFonts w:hint="eastAsia" w:ascii="Times New Roman" w:hAnsi="Times New Roman"/>
          <w:b/>
          <w:bCs/>
          <w:i/>
          <w:iCs/>
          <w:color w:val="auto"/>
          <w:sz w:val="24"/>
          <w:szCs w:val="24"/>
          <w:highlight w:val="none"/>
          <w:u w:val="single"/>
          <w:lang w:val="en-US" w:eastAsia="zh-CN"/>
        </w:rPr>
      </w:r>
      <w:r/>
    </w:p>
    <w:p>
      <w:pPr>
        <w:numPr>
          <w:ilvl w:val="0"/>
          <w:numId w:val="5"/>
        </w:numPr>
        <w:ind w:firstLine="0"/>
        <w:jc w:val="both"/>
        <w:keepLines/>
        <w:keepNext/>
        <w:spacing w:before="100" w:beforeAutospacing="0" w:after="90" w:afterAutospacing="0" w:line="360" w:lineRule="auto"/>
        <w:widowControl w:val="off"/>
        <w:rPr>
          <w:rFonts w:hint="eastAsia" w:ascii="宋体" w:hAnsi="宋体" w:eastAsia="宋体" w:cs="宋体"/>
          <w:b/>
          <w:color w:val="auto"/>
          <w:sz w:val="32"/>
          <w:szCs w:val="22"/>
          <w:highlight w:val="none"/>
          <w:lang w:val="en-US" w:eastAsia="zh-CN" w:bidi="ar-SA"/>
        </w:rPr>
        <w:outlineLvl w:val="0"/>
      </w:pPr>
      <w:r>
        <w:rPr>
          <w:rFonts w:hint="eastAsia" w:ascii="宋体" w:hAnsi="宋体" w:eastAsia="宋体" w:cs="宋体"/>
          <w:b/>
          <w:color w:val="auto"/>
          <w:sz w:val="32"/>
          <w:szCs w:val="22"/>
          <w:highlight w:val="none"/>
          <w:lang w:val="en-US" w:eastAsia="zh-CN" w:bidi="ar-SA"/>
        </w:rPr>
        <w:t xml:space="preserve">技术要求</w:t>
      </w:r>
      <w:r/>
    </w:p>
    <w:p>
      <w:pPr>
        <w:numPr>
          <w:ilvl w:val="1"/>
          <w:numId w:val="5"/>
        </w:numPr>
        <w:ind w:firstLine="0"/>
        <w:jc w:val="both"/>
        <w:keepLines/>
        <w:keepNext/>
        <w:spacing w:before="140" w:beforeAutospacing="0" w:after="140" w:afterAutospacing="0" w:line="413" w:lineRule="auto"/>
        <w:widowControl w:val="off"/>
        <w:rPr>
          <w:rFonts w:hint="eastAsia" w:ascii="宋体" w:hAnsi="宋体" w:eastAsia="宋体" w:cs="宋体"/>
          <w:b/>
          <w:color w:val="auto"/>
          <w:sz w:val="30"/>
          <w:szCs w:val="22"/>
          <w:highlight w:val="none"/>
          <w:lang w:val="en-US" w:eastAsia="zh-CN" w:bidi="ar-SA"/>
        </w:rPr>
        <w:outlineLvl w:val="1"/>
      </w:pPr>
      <w:r>
        <w:rPr>
          <w:rFonts w:hint="eastAsia" w:ascii="宋体" w:hAnsi="宋体" w:eastAsia="宋体" w:cs="宋体"/>
          <w:b/>
          <w:color w:val="auto"/>
          <w:sz w:val="30"/>
          <w:szCs w:val="22"/>
          <w:highlight w:val="none"/>
          <w:lang w:val="en-US" w:eastAsia="zh-CN" w:bidi="ar-SA"/>
        </w:rPr>
        <w:t xml:space="preserve">技术要求</w:t>
      </w:r>
      <w:r/>
    </w:p>
    <w:p>
      <w:pPr>
        <w:ind w:firstLine="480"/>
        <w:spacing w:after="160" w:line="500" w:lineRule="exact"/>
        <w:rPr>
          <w:rFonts w:hint="eastAsia" w:ascii="宋体" w:hAnsi="宋体" w:eastAsia="宋体" w:cs="宋体"/>
          <w:b/>
          <w:bCs/>
          <w:i w:val="0"/>
          <w:iCs w:val="0"/>
          <w:color w:val="auto"/>
          <w:sz w:val="24"/>
          <w:highlight w:val="none"/>
          <w:u w:val="single"/>
          <w:lang w:val="en-US" w:eastAsia="zh-CN" w:bidi="ar-SA"/>
        </w:rPr>
      </w:pPr>
      <w:r>
        <w:rPr>
          <w:rFonts w:hint="eastAsia" w:ascii="宋体" w:hAnsi="宋体" w:eastAsia="宋体" w:cs="宋体"/>
          <w:i w:val="0"/>
          <w:iCs w:val="0"/>
          <w:color w:val="auto"/>
          <w:sz w:val="24"/>
          <w:szCs w:val="24"/>
          <w:highlight w:val="none"/>
        </w:rPr>
        <w:t xml:space="preserve">★</w:t>
      </w:r>
      <w:r>
        <w:rPr>
          <w:rFonts w:hint="eastAsia" w:ascii="宋体" w:hAnsi="宋体" w:eastAsia="宋体" w:cs="宋体"/>
          <w:b/>
          <w:bCs/>
          <w:i w:val="0"/>
          <w:iCs w:val="0"/>
          <w:color w:val="auto"/>
          <w:sz w:val="24"/>
          <w:highlight w:val="none"/>
          <w:u w:val="single"/>
          <w:lang w:val="en-US" w:eastAsia="zh-CN" w:bidi="ar-SA"/>
        </w:rPr>
        <w:t xml:space="preserve">1.平台、系统采用微应用架构，能够根据学校的需求增添应用项目。</w:t>
      </w:r>
      <w:r>
        <w:rPr>
          <w:rFonts w:hint="eastAsia" w:ascii="宋体" w:hAnsi="宋体" w:eastAsia="宋体" w:cs="宋体"/>
          <w:b/>
          <w:bCs/>
          <w:i w:val="0"/>
          <w:iCs w:val="0"/>
          <w:color w:val="auto"/>
          <w:sz w:val="24"/>
          <w:szCs w:val="24"/>
          <w:highlight w:val="none"/>
          <w:u w:val="single"/>
          <w:lang w:val="en-US" w:eastAsia="zh-CN" w:bidi="ar-SA"/>
        </w:rPr>
        <w:t xml:space="preserve">（投标人提供承诺函并加盖投标人公章，承诺函格式自拟）</w:t>
      </w:r>
      <w:r/>
    </w:p>
    <w:p>
      <w:pPr>
        <w:ind w:firstLine="480"/>
        <w:spacing w:after="160" w:line="500" w:lineRule="exact"/>
        <w:rPr>
          <w:rFonts w:hint="eastAsia" w:ascii="宋体" w:hAnsi="宋体" w:eastAsia="宋体" w:cs="宋体"/>
          <w:b/>
          <w:bCs/>
          <w:i w:val="0"/>
          <w:iCs w:val="0"/>
          <w:color w:val="auto"/>
          <w:sz w:val="24"/>
          <w:highlight w:val="none"/>
          <w:u w:val="single"/>
          <w:lang w:val="en-US" w:eastAsia="zh-CN" w:bidi="ar-SA"/>
        </w:rPr>
      </w:pPr>
      <w:r>
        <w:rPr>
          <w:rFonts w:hint="eastAsia" w:ascii="宋体" w:hAnsi="宋体" w:eastAsia="宋体" w:cs="宋体"/>
          <w:i w:val="0"/>
          <w:iCs w:val="0"/>
          <w:color w:val="auto"/>
          <w:sz w:val="24"/>
          <w:szCs w:val="24"/>
          <w:highlight w:val="none"/>
        </w:rPr>
        <w:t xml:space="preserve">★</w:t>
      </w:r>
      <w:r>
        <w:rPr>
          <w:rFonts w:hint="eastAsia" w:ascii="宋体" w:hAnsi="宋体" w:eastAsia="宋体" w:cs="宋体"/>
          <w:b/>
          <w:bCs/>
          <w:i w:val="0"/>
          <w:iCs w:val="0"/>
          <w:color w:val="auto"/>
          <w:sz w:val="24"/>
          <w:highlight w:val="none"/>
          <w:u w:val="single"/>
          <w:lang w:val="en-US" w:eastAsia="zh-CN" w:bidi="ar-SA"/>
        </w:rPr>
        <w:t xml:space="preserve">2.为保证项目整体软件兼容性及将来维护便利性，本次投标人所投平台中的各系统须兼容。</w:t>
      </w:r>
      <w:r>
        <w:rPr>
          <w:rFonts w:hint="eastAsia" w:ascii="宋体" w:hAnsi="宋体" w:eastAsia="宋体" w:cs="宋体"/>
          <w:b/>
          <w:bCs/>
          <w:i w:val="0"/>
          <w:iCs w:val="0"/>
          <w:color w:val="auto"/>
          <w:sz w:val="24"/>
          <w:szCs w:val="24"/>
          <w:highlight w:val="none"/>
          <w:u w:val="single"/>
          <w:lang w:val="en-US" w:eastAsia="zh-CN" w:bidi="ar-SA"/>
        </w:rPr>
        <w:t xml:space="preserve">（投标人提供承诺函并加盖投标人公章，承诺函格式自拟）</w:t>
      </w:r>
      <w:r/>
    </w:p>
    <w:p>
      <w:pPr>
        <w:ind w:firstLine="480"/>
        <w:keepLines w:val="0"/>
        <w:keepNext w:val="0"/>
        <w:pageBreakBefore w:val="0"/>
        <w:spacing w:after="160"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3.平台、系统架构设计合理，结合必要的集群、热备等手段，保证平台、系统不间断运行。平台、系统用户数量不受限制。</w:t>
      </w:r>
      <w:r/>
    </w:p>
    <w:p>
      <w:pPr>
        <w:ind w:firstLine="480"/>
        <w:keepLines w:val="0"/>
        <w:keepNext w:val="0"/>
        <w:pageBreakBefore w:val="0"/>
        <w:spacing w:after="160"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4.本项目平台、系统各模块需要根据标书要求进行开发，各模块之间数据相通。平台访客仅能访问平台公共开放区域内容，建设的平台、系统符合国家信息系统安全等级测评二级及以上标准。</w:t>
      </w:r>
      <w:r/>
    </w:p>
    <w:p>
      <w:pPr>
        <w:ind w:firstLine="480"/>
        <w:keepLines w:val="0"/>
        <w:keepNext w:val="0"/>
        <w:pageBreakBefore w:val="0"/>
        <w:spacing w:after="160"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为了保证全校师生信息系统安全，需加强和规范信息安全管理的基础性工作，要求对影响智慧校园系统和网络安全的不当行为(事件)进行标识、记录、分类和处理，有应急恢复正常运行能力，针对已发生的灾害，具有规范性流程用于指导灾害备份与恢复，并有计划的进行规范化实施能力。通过对计划实施过程的跟踪，发现指导灾害备份与恢复过程中发生的重大偏离与纠正，需具备信息安全应急处理能力。</w:t>
      </w:r>
      <w:r/>
    </w:p>
    <w:p>
      <w:pPr>
        <w:ind w:firstLine="480"/>
        <w:keepLines w:val="0"/>
        <w:keepNext w:val="0"/>
        <w:pageBreakBefore w:val="0"/>
        <w:spacing w:line="360" w:lineRule="auto"/>
        <w:widowControl w:val="off"/>
        <w:rPr>
          <w:rFonts w:hint="eastAsia" w:ascii="宋体" w:hAnsi="宋体" w:eastAsia="宋体" w:cs="宋体"/>
          <w:i w:val="0"/>
          <w:iCs w:val="0"/>
          <w:color w:val="auto"/>
          <w:sz w:val="24"/>
          <w:highlight w:val="none"/>
          <w:u w:val="single"/>
          <w:lang w:val="en-US" w:eastAsia="zh-CN" w:bidi="ar-SA"/>
        </w:rPr>
      </w:pPr>
      <w:r>
        <w:rPr>
          <w:rFonts w:hint="eastAsia" w:ascii="宋体" w:hAnsi="宋体" w:eastAsia="宋体" w:cs="宋体"/>
          <w:i w:val="0"/>
          <w:iCs w:val="0"/>
          <w:color w:val="auto"/>
          <w:sz w:val="24"/>
          <w:szCs w:val="24"/>
          <w:highlight w:val="none"/>
        </w:rPr>
        <w:t xml:space="preserve">★</w:t>
      </w:r>
      <w:r>
        <w:rPr>
          <w:rFonts w:hint="eastAsia" w:ascii="宋体" w:hAnsi="宋体" w:eastAsia="宋体" w:cs="宋体"/>
          <w:b/>
          <w:bCs/>
          <w:i w:val="0"/>
          <w:iCs w:val="0"/>
          <w:color w:val="auto"/>
          <w:sz w:val="24"/>
          <w:highlight w:val="none"/>
          <w:u w:val="single"/>
          <w:lang w:val="en-US" w:eastAsia="zh-CN" w:bidi="ar-SA"/>
        </w:rPr>
        <w:t xml:space="preserve">6.本项目各系统及子系统应集成到统一管理平台，实现高度的数据兼容性，以确保用户在不同系统之间的无缝切换和数据的流畅交互。各系统应遵循统一的数据标准和规范，以便实现数据的共享、整合与分析。</w:t>
      </w:r>
      <w:r>
        <w:rPr>
          <w:rFonts w:hint="eastAsia" w:ascii="宋体" w:hAnsi="宋体" w:eastAsia="宋体" w:cs="宋体"/>
          <w:b/>
          <w:bCs/>
          <w:i w:val="0"/>
          <w:iCs w:val="0"/>
          <w:color w:val="auto"/>
          <w:sz w:val="24"/>
          <w:szCs w:val="24"/>
          <w:highlight w:val="none"/>
          <w:u w:val="single"/>
          <w:lang w:val="en-US" w:eastAsia="zh-CN" w:bidi="ar-SA"/>
        </w:rPr>
        <w:t xml:space="preserve">（投标人提供承诺函并加盖投标人公章，承诺函格式自拟）</w:t>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用户数据兼容性要求</w:t>
      </w:r>
      <w:r/>
    </w:p>
    <w:p>
      <w:pPr>
        <w:numPr>
          <w:ilvl w:val="0"/>
          <w:numId w:val="6"/>
        </w:numPr>
        <w:ind w:left="425" w:firstLine="480"/>
        <w:spacing w:before="100" w:beforeAutospacing="1"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统一用户身份认证：各系统应采用统一的用户身份认证机制，确保用户只需登录一次即可访问所有系统。用户的账号信息应在各系统中保持一致，包括用户名、密码、用户类型等。</w:t>
      </w:r>
      <w:r/>
    </w:p>
    <w:p>
      <w:pPr>
        <w:numPr>
          <w:ilvl w:val="0"/>
          <w:numId w:val="6"/>
        </w:numPr>
        <w:ind w:left="425" w:firstLine="480"/>
        <w:spacing w:before="120"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用户信息同步：当用户在一个系统中修改了个人信息（如姓名、联系方式、头像等），这些信息应自动同步到其他相关系统中，以保证用户信息的准确性和一致性。</w:t>
      </w:r>
      <w:r/>
    </w:p>
    <w:p>
      <w:pPr>
        <w:numPr>
          <w:ilvl w:val="0"/>
          <w:numId w:val="6"/>
        </w:numPr>
        <w:ind w:left="425" w:firstLine="480"/>
        <w:spacing w:before="120"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用户权限管理：各系统应根据用户的角色和权限进行访问控制。用户在不同系统中的权限应相互关联，确保用户只能访问其被授权的功能和数据。例如，教师在教务管理系统、移动教学管理模块等教学相关系统中的权限相匹配。</w:t>
      </w:r>
      <w:r/>
    </w:p>
    <w:p>
      <w:pPr>
        <w:numPr>
          <w:ilvl w:val="0"/>
          <w:numId w:val="6"/>
        </w:numPr>
        <w:ind w:left="425" w:firstLine="480"/>
        <w:spacing w:before="120"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用户行为记录：各系统应记录用户的操作行为，以便进行数据分析和用户行为分析。这些行为记录应可以在相关系统中进行查询和分析，为学校的管理决策提供依据。</w:t>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应用数据兼容性要求</w:t>
      </w:r>
      <w:r/>
    </w:p>
    <w:p>
      <w:pPr>
        <w:numPr>
          <w:ilvl w:val="0"/>
          <w:numId w:val="7"/>
        </w:numPr>
        <w:ind w:left="425" w:firstLine="480"/>
        <w:spacing w:beforeAutospacing="1"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数据格式统一：各系统应采用统一的数据格式和编码规范，以便数据的交换和共享。例如，日期格式、数字格式、文本编码等应保持一致。</w:t>
      </w:r>
      <w:r/>
    </w:p>
    <w:p>
      <w:pPr>
        <w:numPr>
          <w:ilvl w:val="0"/>
          <w:numId w:val="7"/>
        </w:numPr>
        <w:ind w:left="425" w:firstLine="480"/>
        <w:spacing w:before="120"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数据接口规范：各系统应提供标准化的数据接口，以便其他系统可以方便地获取和使用其数据。接口应采用通用的协议和数据格式。</w:t>
      </w:r>
      <w:r/>
    </w:p>
    <w:p>
      <w:pPr>
        <w:numPr>
          <w:ilvl w:val="0"/>
          <w:numId w:val="7"/>
        </w:numPr>
        <w:ind w:left="425" w:firstLine="480"/>
        <w:spacing w:before="120"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数据共享机制：建立数据共享机制，确保各系统之间可以安全、高效地共享数据。对于敏感数据，应采取加密和访问控制措施，以保护数据的安全性。</w:t>
      </w:r>
      <w:r/>
    </w:p>
    <w:p>
      <w:pPr>
        <w:numPr>
          <w:ilvl w:val="0"/>
          <w:numId w:val="7"/>
        </w:numPr>
        <w:ind w:left="425" w:firstLine="480"/>
        <w:spacing w:before="120"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数据一致性校验：各系统在进行数据交换和共享时，应进行数据一致性校验，确保数据的准确性和完整性。例如，在学生工作管理系统和毕业生管理系统中，学生的基本信息应保持一致。</w:t>
      </w:r>
      <w:r/>
    </w:p>
    <w:p>
      <w:pPr>
        <w:numPr>
          <w:ilvl w:val="0"/>
          <w:numId w:val="7"/>
        </w:numPr>
        <w:ind w:left="425" w:firstLine="480"/>
        <w:spacing w:before="120"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数据分析与整合：各系统应提供数据分析和整合功能，以便学校可以对全校的数据进行综合分析和决策。</w:t>
      </w:r>
      <w:r/>
    </w:p>
    <w:p>
      <w:pPr>
        <w:numPr>
          <w:ilvl w:val="1"/>
          <w:numId w:val="5"/>
        </w:numPr>
        <w:ind w:firstLine="0"/>
        <w:jc w:val="both"/>
        <w:keepLines/>
        <w:keepNext/>
        <w:spacing w:before="140" w:beforeAutospacing="0" w:after="140" w:afterAutospacing="0" w:line="413" w:lineRule="auto"/>
        <w:widowControl w:val="off"/>
        <w:rPr>
          <w:rFonts w:hint="eastAsia" w:ascii="宋体" w:hAnsi="宋体" w:eastAsia="宋体" w:cs="宋体"/>
          <w:b/>
          <w:color w:val="auto"/>
          <w:sz w:val="30"/>
          <w:szCs w:val="22"/>
          <w:highlight w:val="none"/>
          <w:lang w:val="en-US" w:eastAsia="zh-CN" w:bidi="ar-SA"/>
        </w:rPr>
        <w:outlineLvl w:val="1"/>
      </w:pPr>
      <w:r>
        <w:rPr>
          <w:rFonts w:hint="eastAsia" w:ascii="宋体" w:hAnsi="宋体" w:eastAsia="宋体" w:cs="宋体"/>
          <w:b/>
          <w:color w:val="auto"/>
          <w:sz w:val="30"/>
          <w:szCs w:val="22"/>
          <w:highlight w:val="none"/>
          <w:lang w:val="en-US" w:eastAsia="zh-CN" w:bidi="ar-SA"/>
        </w:rPr>
        <w:t xml:space="preserve">项目需求清单</w:t>
      </w:r>
      <w:r/>
    </w:p>
    <w:tbl>
      <w:tblPr>
        <w:tblStyle w:val="759"/>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4106"/>
        <w:gridCol w:w="788"/>
        <w:gridCol w:w="844"/>
        <w:gridCol w:w="2082"/>
      </w:tblGrid>
      <w:tr>
        <w:trPr>
          <w:trHeight w:val="454"/>
        </w:trPr>
        <w:tc>
          <w:tcPr>
            <w:tcW w:w="101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W w:w="4106"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模块名称</w:t>
            </w:r>
            <w:r/>
          </w:p>
        </w:tc>
        <w:tc>
          <w:tcPr>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数量</w:t>
            </w:r>
            <w:r/>
          </w:p>
        </w:tc>
        <w:tc>
          <w:tcPr>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单位</w:t>
            </w:r>
            <w:r/>
          </w:p>
        </w:tc>
        <w:tc>
          <w:tcPr>
            <w:tcW w:w="2082"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所属行业</w:t>
            </w:r>
            <w:r/>
          </w:p>
        </w:tc>
      </w:tr>
      <w:tr>
        <w:trPr>
          <w:trHeight w:val="34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pacing w:val="8"/>
                <w:sz w:val="24"/>
                <w:szCs w:val="24"/>
                <w:highlight w:val="none"/>
                <w:lang w:val="en-US" w:eastAsia="zh-CN" w:bidi="ar-SA"/>
              </w:rPr>
              <w:t xml:space="preserve">智慧校园全量数据中台及数据治理</w:t>
            </w:r>
            <w:r/>
          </w:p>
        </w:tc>
        <w:tc>
          <w:tcPr>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1</w:t>
            </w:r>
            <w:r/>
          </w:p>
        </w:tc>
        <w:tc>
          <w:tcPr>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项</w:t>
            </w:r>
            <w:r/>
          </w:p>
        </w:tc>
        <w:tc>
          <w:tcPr>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34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微服务基础平台及配套应用</w:t>
            </w:r>
            <w:r/>
          </w:p>
        </w:tc>
        <w:tc>
          <w:tcPr>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1</w:t>
            </w:r>
            <w:r/>
          </w:p>
        </w:tc>
        <w:tc>
          <w:tcPr>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项</w:t>
            </w:r>
            <w:r/>
          </w:p>
        </w:tc>
        <w:tc>
          <w:tcPr>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34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一体化门户（办事大厅）</w:t>
            </w:r>
            <w:r/>
          </w:p>
        </w:tc>
        <w:tc>
          <w:tcPr>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1</w:t>
            </w:r>
            <w:r/>
          </w:p>
        </w:tc>
        <w:tc>
          <w:tcPr>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项</w:t>
            </w:r>
            <w:r/>
          </w:p>
        </w:tc>
        <w:tc>
          <w:tcPr>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34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智慧教学系统</w:t>
            </w:r>
            <w:r/>
          </w:p>
          <w:p>
            <w:pPr>
              <w:pStyle w:val="760"/>
              <w:ind w:firstLine="960"/>
              <w:rPr>
                <w:rFonts w:hint="eastAsia"/>
                <w:color w:val="auto"/>
                <w:highlight w:val="none"/>
                <w:lang w:val="en-US" w:eastAsia="zh-CN"/>
              </w:rPr>
            </w:pPr>
            <w:r>
              <w:rPr>
                <w:rFonts w:hint="eastAsia" w:ascii="宋体" w:hAnsi="宋体" w:cs="宋体"/>
                <w:b w:val="0"/>
                <w:bCs w:val="0"/>
                <w:color w:val="auto"/>
                <w:sz w:val="24"/>
                <w:szCs w:val="24"/>
                <w:highlight w:val="none"/>
                <w:lang w:val="en-US" w:eastAsia="zh-CN" w:bidi="ar-SA"/>
              </w:rPr>
              <w:t xml:space="preserve">（整合已有系统）</w:t>
            </w:r>
            <w:r/>
          </w:p>
        </w:tc>
        <w:tc>
          <w:tcPr>
            <w:shd w:val="clear" w:color="auto" w:fill="auto"/>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en-US" w:bidi="ar-SA"/>
              </w:rPr>
              <w:t xml:space="preserve">1</w:t>
            </w:r>
            <w:r/>
          </w:p>
        </w:tc>
        <w:tc>
          <w:tcPr>
            <w:shd w:val="clear" w:color="auto" w:fill="auto"/>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en-US" w:bidi="ar-SA"/>
              </w:rPr>
              <w:t xml:space="preserve">项</w:t>
            </w:r>
            <w:r/>
          </w:p>
        </w:tc>
        <w:tc>
          <w:tcPr>
            <w:shd w:val="clear" w:color="auto" w:fill="auto"/>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34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教务管理系统</w:t>
            </w:r>
            <w:r/>
          </w:p>
          <w:p>
            <w:pPr>
              <w:pStyle w:val="760"/>
              <w:ind w:firstLine="960"/>
              <w:rPr>
                <w:rFonts w:hint="eastAsia"/>
                <w:color w:val="auto"/>
                <w:highlight w:val="none"/>
                <w:lang w:val="en-US" w:eastAsia="zh-CN"/>
              </w:rPr>
            </w:pPr>
            <w:r>
              <w:rPr>
                <w:rFonts w:hint="eastAsia" w:ascii="宋体" w:hAnsi="宋体" w:cs="宋体"/>
                <w:b w:val="0"/>
                <w:bCs w:val="0"/>
                <w:color w:val="auto"/>
                <w:sz w:val="24"/>
                <w:szCs w:val="24"/>
                <w:highlight w:val="none"/>
                <w:lang w:val="en-US" w:eastAsia="zh-CN" w:bidi="ar-SA"/>
              </w:rPr>
              <w:t xml:space="preserve">（整合已有系统）</w:t>
            </w:r>
            <w:r/>
          </w:p>
        </w:tc>
        <w:tc>
          <w:tcPr>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1</w:t>
            </w:r>
            <w:r/>
          </w:p>
        </w:tc>
        <w:tc>
          <w:tcPr>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项</w:t>
            </w:r>
            <w:r/>
          </w:p>
        </w:tc>
        <w:tc>
          <w:tcPr>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55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学生工作管理系统</w:t>
            </w:r>
            <w:r/>
          </w:p>
        </w:tc>
        <w:tc>
          <w:tcPr>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1</w:t>
            </w:r>
            <w:r/>
          </w:p>
        </w:tc>
        <w:tc>
          <w:tcPr>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项</w:t>
            </w:r>
            <w:r/>
          </w:p>
        </w:tc>
        <w:tc>
          <w:tcPr>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55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宿舍管理系统</w:t>
            </w:r>
            <w:r/>
          </w:p>
        </w:tc>
        <w:tc>
          <w:tcPr>
            <w:shd w:val="clear" w:color="auto" w:fill="auto"/>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en-US" w:bidi="ar-SA"/>
              </w:rPr>
              <w:t xml:space="preserve">1</w:t>
            </w:r>
            <w:r/>
          </w:p>
        </w:tc>
        <w:tc>
          <w:tcPr>
            <w:shd w:val="clear" w:color="auto" w:fill="auto"/>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en-US" w:bidi="ar-SA"/>
              </w:rPr>
              <w:t xml:space="preserve">项</w:t>
            </w:r>
            <w:r/>
          </w:p>
        </w:tc>
        <w:tc>
          <w:tcPr>
            <w:shd w:val="clear" w:color="auto" w:fill="auto"/>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355"/>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实习管理系统</w:t>
            </w:r>
            <w:r/>
          </w:p>
        </w:tc>
        <w:tc>
          <w:tcPr>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1</w:t>
            </w:r>
            <w:r/>
          </w:p>
        </w:tc>
        <w:tc>
          <w:tcPr>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项</w:t>
            </w:r>
            <w:r/>
          </w:p>
        </w:tc>
        <w:tc>
          <w:tcPr>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34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就业管理系统</w:t>
            </w:r>
            <w:r/>
          </w:p>
        </w:tc>
        <w:tc>
          <w:tcPr>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1</w:t>
            </w:r>
            <w:r/>
          </w:p>
        </w:tc>
        <w:tc>
          <w:tcPr>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项</w:t>
            </w:r>
            <w:r/>
          </w:p>
        </w:tc>
        <w:tc>
          <w:tcPr>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34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党建管理系统</w:t>
            </w:r>
            <w:r/>
          </w:p>
        </w:tc>
        <w:tc>
          <w:tcPr>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1</w:t>
            </w:r>
            <w:r/>
          </w:p>
        </w:tc>
        <w:tc>
          <w:tcPr>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项</w:t>
            </w:r>
            <w:r/>
          </w:p>
        </w:tc>
        <w:tc>
          <w:tcPr>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34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教科研管理系统</w:t>
            </w:r>
            <w:r/>
          </w:p>
        </w:tc>
        <w:tc>
          <w:tcPr>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1</w:t>
            </w:r>
            <w:r/>
          </w:p>
        </w:tc>
        <w:tc>
          <w:tcPr>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项</w:t>
            </w:r>
            <w:r/>
          </w:p>
        </w:tc>
        <w:tc>
          <w:tcPr>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34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图书馆管理系统</w:t>
            </w:r>
            <w:r/>
          </w:p>
        </w:tc>
        <w:tc>
          <w:tcPr>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1</w:t>
            </w:r>
            <w:r/>
          </w:p>
        </w:tc>
        <w:tc>
          <w:tcPr>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项</w:t>
            </w:r>
            <w:r/>
          </w:p>
        </w:tc>
        <w:tc>
          <w:tcPr>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34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专业教学资源库系统</w:t>
            </w:r>
            <w:r/>
          </w:p>
        </w:tc>
        <w:tc>
          <w:tcPr>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en-US" w:bidi="ar-SA"/>
              </w:rPr>
              <w:t xml:space="preserve">1</w:t>
            </w:r>
            <w:r/>
          </w:p>
        </w:tc>
        <w:tc>
          <w:tcPr>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en-US" w:bidi="ar-SA"/>
              </w:rPr>
              <w:t xml:space="preserve">项</w:t>
            </w:r>
            <w:r/>
          </w:p>
        </w:tc>
        <w:tc>
          <w:tcPr>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34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教师课程引用资源中心</w:t>
            </w:r>
            <w:r/>
          </w:p>
        </w:tc>
        <w:tc>
          <w:tcPr>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1</w:t>
            </w:r>
            <w:r/>
          </w:p>
        </w:tc>
        <w:tc>
          <w:tcPr>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en-US" w:bidi="ar-SA"/>
              </w:rPr>
              <w:t xml:space="preserve">项</w:t>
            </w:r>
            <w:r/>
          </w:p>
        </w:tc>
        <w:tc>
          <w:tcPr>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34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大数据看板</w:t>
            </w:r>
            <w:r/>
          </w:p>
        </w:tc>
        <w:tc>
          <w:tcPr>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w:t>
            </w:r>
            <w:r/>
          </w:p>
        </w:tc>
        <w:tc>
          <w:tcPr>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r>
        <w:trPr>
          <w:trHeight w:val="340"/>
        </w:trPr>
        <w:tc>
          <w:tcPr>
            <w:tcW w:w="1018" w:type="dxa"/>
            <w:vAlign w:val="center"/>
            <w:textDirection w:val="lrTb"/>
            <w:noWrap w:val="false"/>
          </w:tcPr>
          <w:p>
            <w:pPr>
              <w:numPr>
                <w:ilvl w:val="0"/>
                <w:numId w:val="8"/>
              </w:numPr>
              <w:ind w:left="425" w:firstLine="0"/>
              <w:jc w:val="center"/>
              <w:keepLines w:val="0"/>
              <w:keepNext w:val="0"/>
              <w:pageBreakBefore w:val="0"/>
              <w:spacing w:after="16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106" w:type="dxa"/>
            <w:vAlign w:val="center"/>
            <w:textDirection w:val="lrTb"/>
            <w:noWrap w:val="false"/>
          </w:tcPr>
          <w:p>
            <w:pPr>
              <w:ind w:firstLine="0"/>
              <w:jc w:val="center"/>
              <w:keepLines w:val="0"/>
              <w:keepNext w:val="0"/>
              <w:pageBreakBefore w:val="0"/>
              <w:spacing w:after="160"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AI智能体系统</w:t>
            </w:r>
            <w:r/>
          </w:p>
        </w:tc>
        <w:tc>
          <w:tcPr>
            <w:shd w:val="clear" w:color="auto" w:fill="auto"/>
            <w:tcW w:w="788"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shd w:val="clear" w:color="auto" w:fill="auto"/>
            <w:tcW w:w="844" w:type="dxa"/>
            <w:vAlign w:val="center"/>
            <w:textDirection w:val="lrTb"/>
            <w:noWrap w:val="false"/>
          </w:tcPr>
          <w:p>
            <w:pPr>
              <w:ind w:firstLine="0"/>
              <w:jc w:val="center"/>
              <w:keepLines w:val="0"/>
              <w:keepNext w:val="0"/>
              <w:pageBreakBefore w:val="0"/>
              <w:spacing w:after="16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w:t>
            </w:r>
            <w:r/>
          </w:p>
        </w:tc>
        <w:tc>
          <w:tcPr>
            <w:shd w:val="clear" w:color="auto" w:fill="auto"/>
            <w:tcW w:w="2082" w:type="dxa"/>
            <w:vAlign w:val="center"/>
            <w:textDirection w:val="lrTb"/>
            <w:noWrap w:val="false"/>
          </w:tcPr>
          <w:p>
            <w:pPr>
              <w:ind w:firstLine="0"/>
              <w:jc w:val="center"/>
              <w:keepLines w:val="0"/>
              <w:keepNext w:val="0"/>
              <w:pageBreakBefore w:val="0"/>
              <w:spacing w:after="160" w:line="40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软件和信息技术服务业</w:t>
            </w:r>
            <w:r/>
          </w:p>
        </w:tc>
      </w:tr>
    </w:tbl>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r>
      <w:r/>
    </w:p>
    <w:p>
      <w:pPr>
        <w:numPr>
          <w:ilvl w:val="1"/>
          <w:numId w:val="5"/>
        </w:numPr>
        <w:ind w:firstLine="0"/>
        <w:jc w:val="both"/>
        <w:keepLines/>
        <w:keepNext/>
        <w:spacing w:before="140" w:beforeAutospacing="0" w:after="140" w:afterAutospacing="0" w:line="413" w:lineRule="auto"/>
        <w:widowControl w:val="off"/>
        <w:rPr>
          <w:rFonts w:hint="eastAsia" w:ascii="宋体" w:hAnsi="宋体" w:eastAsia="宋体" w:cs="宋体"/>
          <w:b/>
          <w:color w:val="auto"/>
          <w:sz w:val="30"/>
          <w:szCs w:val="22"/>
          <w:highlight w:val="none"/>
          <w:lang w:val="en-US" w:eastAsia="zh-CN" w:bidi="ar-SA"/>
        </w:rPr>
        <w:outlineLvl w:val="1"/>
      </w:pPr>
      <w:r>
        <w:rPr>
          <w:rFonts w:hint="eastAsia" w:ascii="宋体" w:hAnsi="宋体" w:eastAsia="宋体" w:cs="宋体"/>
          <w:b/>
          <w:color w:val="auto"/>
          <w:sz w:val="30"/>
          <w:szCs w:val="22"/>
          <w:highlight w:val="none"/>
          <w:lang w:val="en-US" w:eastAsia="zh-CN" w:bidi="ar-SA"/>
        </w:rPr>
        <w:t xml:space="preserve">技术参数</w:t>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智慧校园全量数据中台及数据治理</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统一数据管理模块</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数据模型管理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1.支持可视化方式在线创建、设计、修改、维护数据模型，并支持同步生成实体表；</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2.支持数据模型的导入和导出Excel文件；</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3.管理数据词汇和元数据的定义，包括字段、表、模型等；定义数据标准化规则，如命名规范、数据格式、数据类型等定义和管理数据的扩展属性和补充标准，满足特定需求；</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4.支持对标准字段（必填字段、物理字段名等）进行匹配校验；</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5.管理数据模型的定义、设计、变更和维护；</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6.支持数据模型的描述；</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7.支持查看当前数据模型和实体表整体建设详情；</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8.定义数据字段的长度，以限制数据的输入范围并避免数据溢出或截断；</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9.定义数据的类型，例如数值、文本、日期等，以确保数据的一致性和正确性；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10.支持比对数据模型与实体表差异，并按数据模型同步实体表；</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11.定期维护和更新数据标准化内容，保持其与业务需求的一致性；</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数据源管理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1.支持添加、编辑、删除和停用关系型（MySQL、Oracle、SQL Server、PostgreSQL等）、非关系型（Kafka、MongoDB等）数据源；</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2.支持查看数据源配置的业务系统关联关系；</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3.支持快速查看数据源下所有的表和视图，支持查看数据表或视图中的数据情况，支持关键词搜索，快速查看数据源信息；</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4.支持查看当前数据源运行异常监测情况，支持查看连接异常的数据源数量、异常数据源明细；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5.支持批量导入导出或自动生成数据表的数据字典，方便完成数据表、字段的注释补充工作；</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6.数据字典记录和描述每个数据字段的名称、类型、长度、格式、主键等信息，以便对数据进行一致的解释和使用；</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7.数据字典定义和记录每个数据字段的质量规则，包括完整性、准确性、一致性等，以便监控和维护数据的质量；</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8.提供直观易懂的数据字典可视化展示方式，以图表形式，帮助用户理解和使用数据字段；</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9.支持自动化更新数据字典，自动定时从中台内获取最新数据字段信息；</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ab/>
      </w:r>
      <w:r>
        <w:rPr>
          <w:rFonts w:hint="eastAsia" w:ascii="宋体" w:hAnsi="宋体" w:eastAsia="宋体" w:cs="宋体"/>
          <w:b/>
          <w:color w:val="auto"/>
          <w:sz w:val="24"/>
          <w:szCs w:val="24"/>
          <w:highlight w:val="none"/>
          <w:lang w:val="en-US" w:eastAsia="zh-CN" w:bidi="ar-SA"/>
        </w:rPr>
        <w:t xml:space="preserve">数据集成</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1.支持对多种不同类型的数据库进行数据抽取、转换、加载，支持Oracle、MySQL、SQLServer等传统关系型数据库，以及PostgreSQL、MongoDB、StarRocks等新型数据库；</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2.支持多种如Oracle、MySQL等数据库的实时数据同步；</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3.内置调度任务分批分组并行机制，可实现数据接口多线程并发工作；</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4.设置DB数据表更新策略，支持全量更新、实时更新、增量更新数据库表内容；</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5.大规模数据的导入处理，处理海量数据时不会影响系统性能和稳定性；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6.实现数据的校验和验证功能，确保导入数据的精确性和可靠性。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7.按文件夹或数据表两种方式本地上传excel数据表到中台。</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8.支持全量数据更新、增量更新、实时更新三种更新类型；</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9.支持回收站功能，删除后的接口/任务进入回收站，防止接口误删除；</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10.支持配置源表和目标表映射时可预览字段的数据；</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11.支持创建单次/周期的任务调度，周期任务可自定义频率执行，执行频率可按分钟、小时、天、月、年的维度执行；</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12.支持将任务进行分组，不同分组的任务可并行执行；</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13.支持基于Web界面创建调度任务，为降低使用门槛，支持通过可视化操作页面实现同步任务、异步任务、串行、并行、任务流的创建，可根据数据的业务属性创建不同的执行频率或周期；</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14.支持可视化配置增量数据的数据表。配置后自动实现变化数据留存功能，可根据源表结构在数据源中自动生成表结构，以方便对于学校历史数据的留存、管理和使用；</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15.支持输入SQL语句创建数据表；</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16.支持导入SQL文件创建数据表；</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17.自动SQL语句校验；</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18.解析SQL语句，预览相应数据表内容。</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19.接口导入支持GET、POST两种请求类型；</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20.接口导入支持固定值参数、实时获取参数、动态参数、自定义参数；</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21.支持通过MD5、DES加密获取参数；</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22.支持解析JSON、XML格式数据；</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23.接口导入支持多种分页方式，包括偏移分页、循环分页、OData协议分页等；</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24.接口导入创建多层级结构数据表，以多张表的格式导入中台；</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25.API数据同步有一次性导入、全量更新、增量更新(中台接受推送)、增量更新(中台定时拉取) 多种方式；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SA"/>
        </w:rPr>
        <w:t xml:space="preserve">26.支持可视化的kafka消息队列接入配置，并在数据导入过程中，支持数据的转换和格式化，以适应数据入库和数据建模；</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ab/>
      </w:r>
      <w:r>
        <w:rPr>
          <w:rFonts w:hint="eastAsia" w:ascii="宋体" w:hAnsi="宋体" w:eastAsia="宋体" w:cs="宋体"/>
          <w:b/>
          <w:color w:val="auto"/>
          <w:sz w:val="24"/>
          <w:szCs w:val="24"/>
          <w:highlight w:val="none"/>
          <w:lang w:val="en-US" w:eastAsia="zh-CN" w:bidi="ar-SA"/>
        </w:rPr>
        <w:t xml:space="preserve">线下数据集成</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1.支持创建表单，使用线下Excel文件批量导入或者发放表单收集数据，并支持导出数据表格；</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2.支持根据业务需要自定义创建角色以及对角色所操作数据表的权限管理，支持多维度的权限设置，可针对不同角色分别设置其数据管理权限、字段权限、操作权限、其他权限；</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3.支持设置推送提醒，当数据有新增、修改或删除时，可根据预设条件对指定对象发送通知提醒；</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4.支持配置填写默认值，方便填写人员理解需填内容；</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5.创建数据表时支持添加“部门”字段，用于记录填报人的部门信息，前台用户填报时，只能查看本部门填报的数据；</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6.支持查看管理员操作日志，可根据操作时间段、修改模块、事件类型等条件筛选查看对于本张表单的操作记录。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7.支持打通微服务表单应用，需要支持直接连接表单，将表单数据导入到中台内；</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字段脱敏</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1.支持对各种数据类型进行脱敏，包括文本、数字、日期等；</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2.提供部分脱敏功能，使敏感信息的一部分保持原样，保证关键信息的可用性和可追溯性；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3.对于动态更新的数据，支持增量脱敏处理，确保新数据也能得到及时的脱敏保护；</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4.支持对指定字段进行脱敏，保护特定数据的隐私，而不影响其他字段的可用性；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5.提供数据备份和恢复功能，以便在需要时还原原始数据或重新脱敏处理；</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ab/>
      </w:r>
      <w:r>
        <w:rPr>
          <w:rFonts w:hint="eastAsia" w:ascii="宋体" w:hAnsi="宋体" w:eastAsia="宋体" w:cs="宋体"/>
          <w:b/>
          <w:color w:val="auto"/>
          <w:sz w:val="24"/>
          <w:szCs w:val="24"/>
          <w:highlight w:val="none"/>
          <w:lang w:val="en-US" w:eastAsia="zh-CN" w:bidi="ar-SA"/>
        </w:rPr>
        <w:t xml:space="preserve">数据监控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1.能够实时更新数据总量的监控结果，以及显示最新的数据变动情况；</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2.记录历史每天的数据概览情况；</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3.采用图表或可视化方式展示数据总量的监控结果，使用户能够直观地理解数据变化；</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4.允许用户选择不同时间查询数据总量概览。</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5.以可视化形式提供表新增数据量的趋势分析，包括增长率、波动情况等</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6.支持监控跟踪数据表、数据源、数据推送的执行任务情况；</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7.支持监控异常信息，并及时通知管理员进行处理；</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SA"/>
        </w:rPr>
        <w:t xml:space="preserve">8.图表化展示监控任务运行情况，包括监控对象当前状态、运行成功数、运行失败数、潜在异常分析等；</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ab/>
      </w:r>
      <w:r>
        <w:rPr>
          <w:rFonts w:hint="eastAsia" w:ascii="宋体" w:hAnsi="宋体" w:eastAsia="宋体" w:cs="宋体"/>
          <w:b/>
          <w:color w:val="auto"/>
          <w:sz w:val="24"/>
          <w:szCs w:val="24"/>
          <w:highlight w:val="none"/>
          <w:lang w:val="en-US" w:eastAsia="zh-CN" w:bidi="ar-SA"/>
        </w:rPr>
        <w:t xml:space="preserve">接口监控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1.实时监控接口的调用情况和接口总数，展示当前的接口异常情况；</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2.统计接口异常频率，帮助发现异常情况并进行处理；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3.使用图表或其他可视化方式展示接口流入和流出流量的实时情况，方便用户直观观察和分析；</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4.实时监控流入接口运行异常情况，统计异常次数。</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5.实时监控流出接口运行异常情况，统计异常次数。</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6.监控接口的运行状态，如运行中、执行成功、等待执行、执行失败等，并及时进行展示。</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7.展示不同主题数据集的总接口数，包括调用总数量和调用总次数；</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8.实时计算和更新主题数据集的接口统计及调用情况，确保获取最新的结果；</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9.支持查看主题集下接口具体明细和关联表信息；</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10.支持查看主题集下接口具体调用次数和成功失败次。</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11.展示接口性能的变化趋势，如响应时间的增长或下降情况，帮助发现性能问题并进行优化；</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12.对每个接口的耗时进行统计和记录，包括请求到响应的总时间、平均耗时等；</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13.实时监控接口的耗时情况，包括当前耗时最长的接口及其详细信息，以便快速响应和解决问题；</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14.比较不同接口的耗时情况，识别性能突出和有待优化的接口，以便优化资源分配和性能改进；</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15.将接口耗时数据进行存档，以便回溯分析和长期性能趋势观察；</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16.可存放学校日常使用的所有业务系统的数据。同时支持现有数据生成接口，支持多维度的数据导入包括表格、DB数据库导入、SQL导入、API导入等方式。</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数据开放管理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1.支持以API接口、Excel、数据库推送等模式对外进行数据共享开放；</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2.通过数据开放集市，可实现数据申请的审核流程及管理配置；</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3.支持发布Excel类型的数据格式，对外共享开放； </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4.支持数据发布时可对数据进行脱敏、加密，以保障数据使用安全；</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5.支持对已发布的数据资源进行编辑，删除，配置资源共享权限等操作；</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6.支持多维度查询数据清单信息；</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7.同一个接口支持授权多个不同单位，创建多个不同加密KEY；对设置好的接口进行资源权限分配，设置每个接口对应的用户可访问权限；</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8.API 文档自动生成，API 文档自动生成，通过接口平台可以自动生成 API文档，无需手工编写；接口说明文档，内容包括：接口名称、接口描述、URL地址、格式、HTTP请求方式、请求参数、请求示例、返回参数说明、示例代码；</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9.API接口支持标识区分数据是否被使用；</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10.支持新增数据集市、新增数据主题、新增数据资源目录；</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11.对每个接口的失败次数进行统计和记录，包括请求失败的总次数、超时时间等；</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12.创建接口时，可以创建类型为普通接口或大屏接口；</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13.对于大部分简单增删改查接口，无需编写代码，通过平台的接口配置功能即可生成，对于复杂的接口，可以通过接口间的关联调用进行处理；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14.配置数据表生成API接口过程中支持选择中台内添加的模板；</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15.配置数据表生成API接口过程支持进行数据治理，用于配置复杂全面的接口信息；</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16.实时预览接口配置结果数据；</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17.接口文档支持下载到本地；</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18.支持设置动态参数，以实现调用方增量查询和筛选查询；</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19.查看api删除记录，追溯删除人；</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20.api支持分组管理，以实现更加精细化的接口分类，区分不同业务系统调用接口；</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21.支持单个接口不同单位使用时的独立授权；</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22.可进行创建推送集合、推送策略、推送主题、推送类型；管理推送状态等操作；</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23.支持由中台主动推送数据至相关平台：全国职业教育智慧大脑院校中台【中高职】、文化云HTTP推送、HTTP、KAFKA、表单、oracle数据库、mysql数据库；</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24.推送监控，管理单个推送主题推送状态，及时处理异常情况；</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25.查看推送日志，记录推送的详细信息。</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26.支持连接表单应用，支持直连接单位表单审批应用数据，将数据以实时更新同步模式导入到中台内；</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ab/>
      </w:r>
      <w:r>
        <w:rPr>
          <w:rFonts w:hint="eastAsia" w:ascii="宋体" w:hAnsi="宋体" w:eastAsia="宋体" w:cs="宋体"/>
          <w:b/>
          <w:color w:val="auto"/>
          <w:sz w:val="24"/>
          <w:szCs w:val="24"/>
          <w:highlight w:val="none"/>
          <w:lang w:val="en-US" w:eastAsia="zh-CN" w:bidi="ar-SA"/>
        </w:rPr>
        <w:t xml:space="preserve">数据血缘</w:t>
      </w:r>
      <w:r/>
    </w:p>
    <w:p>
      <w:pPr>
        <w:ind w:left="0" w:right="0" w:firstLine="0"/>
        <w:jc w:val="left"/>
        <w:keepLines w:val="0"/>
        <w:keepNext w:val="0"/>
        <w:pageBreakBefore w:val="0"/>
        <w:spacing w:beforeAutospacing="0" w:afterAutospacing="0" w:line="240" w:lineRule="auto"/>
        <w:tabs>
          <w:tab w:val="left" w:pos="780" w:leader="none"/>
          <w:tab w:val="left" w:pos="1710" w:leader="none"/>
          <w:tab w:val="left" w:pos="2955"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1自动识别不同数据源之间的关联关系，包括数据表、文件、数据库等，以建立数据血缘关系；</w:t>
      </w:r>
      <w:r/>
    </w:p>
    <w:p>
      <w:pPr>
        <w:ind w:left="0" w:right="0" w:firstLine="0"/>
        <w:jc w:val="left"/>
        <w:keepLines w:val="0"/>
        <w:keepNext w:val="0"/>
        <w:pageBreakBefore w:val="0"/>
        <w:spacing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2.通过跟踪数据的产生、转换和使用过程，提供对数据血缘关系的追溯功能；</w:t>
      </w:r>
      <w:r/>
    </w:p>
    <w:p>
      <w:pPr>
        <w:ind w:left="0" w:right="0" w:firstLine="0"/>
        <w:jc w:val="left"/>
        <w:keepLines w:val="0"/>
        <w:keepNext w:val="0"/>
        <w:pageBreakBefore w:val="0"/>
        <w:spacing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3.记录数据的加工操作，包括数据清洗、转换、计算等过程，以便追溯数据的加工历史；</w:t>
      </w:r>
      <w:r/>
    </w:p>
    <w:p>
      <w:pPr>
        <w:ind w:left="0" w:right="0" w:firstLine="0"/>
        <w:jc w:val="left"/>
        <w:keepLines w:val="0"/>
        <w:keepNext w:val="0"/>
        <w:pageBreakBefore w:val="0"/>
        <w:spacing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4.以图表或图形等方式展示数据血缘关系，使用户能够直观地理解数据的流向和关系；</w:t>
      </w:r>
      <w:r/>
    </w:p>
    <w:p>
      <w:pPr>
        <w:ind w:left="0" w:right="0" w:firstLine="0"/>
        <w:jc w:val="left"/>
        <w:keepLines w:val="0"/>
        <w:keepNext w:val="0"/>
        <w:pageBreakBefore w:val="0"/>
        <w:spacing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5.对数据血缘关系进行验证和校验，以确保血缘关系的准确性和完整性；</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ab/>
      </w:r>
      <w:r>
        <w:rPr>
          <w:rFonts w:hint="eastAsia" w:ascii="宋体" w:hAnsi="宋体" w:eastAsia="宋体" w:cs="宋体"/>
          <w:b/>
          <w:color w:val="auto"/>
          <w:sz w:val="24"/>
          <w:szCs w:val="24"/>
          <w:highlight w:val="none"/>
          <w:lang w:val="en-US" w:eastAsia="zh-CN" w:bidi="ar-SA"/>
        </w:rPr>
        <w:t xml:space="preserve">数据安全等级管理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1.建立有效的安全审计机制，记录和监控用户行为、访问日志以及系统事件，及时发现和响应潜在的安全威胁，并进行必要的调查和响应；</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2.支持为数据安全等级关联元数据，支持为字段设置安全等级；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3.对于不同的用户或组织，确保数据在逻辑上的隔离，以防止未经授权的访问和数据泄露。在涉及个人身份信息的场景中，遵守相关的隐私法规和政策，采取合适的措施保护用户的个人信息；</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4.支持数据安全等级策略管理。可对数据设置安全等级，颗粒度可细化到字段级别。基于安全等级，可实现不同安全等级下多种不同模式的数据审核流程；</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5.对于敏感数据，数据中台采用合适的加密算法和安全协议来确保数据在传输和存储过程中的安全性。常见的加密方法包括对称加密、非对称加密和哈希算法等；</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6.支持记录标识了安全等级的字段/数据表的查看、新增、编辑、删除等操作日志；</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7.实施强大的网络安全措施，包括防火墙、入侵检测和防御系统 (IDS/IPS)，以保护服务器免受网络攻击、恶意入侵和未经授权的访问或支持HTTPS证书管理和对接配置；</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8.访问控制和身份验证：确保只有经过授权的用户可以访问数据中台系统。通过身份验证机制、访问权限管理和细粒度的访问控制策略来实现，例如使用单点登录 (SSO)、基于角色的访问控制 (RBAC) 等；</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highlight w:val="none"/>
          <w:lang w:val="en-US" w:eastAsia="zh-CN" w:bidi="ar-SA"/>
        </w:rPr>
        <w:t xml:space="preserve">9.数据备份与恢复：采用主从库，每日进行数据备份，并建立紧急恢复和灾难恢复计划，以确保在数据丢失或系统故障时能够快速恢复数据；</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ab/>
      </w:r>
      <w:r>
        <w:rPr>
          <w:rFonts w:hint="eastAsia" w:ascii="宋体" w:hAnsi="宋体" w:eastAsia="宋体" w:cs="宋体"/>
          <w:b/>
          <w:color w:val="auto"/>
          <w:sz w:val="24"/>
          <w:szCs w:val="24"/>
          <w:highlight w:val="none"/>
          <w:lang w:val="en-US" w:eastAsia="zh-CN" w:bidi="ar-SA"/>
        </w:rPr>
        <w:t xml:space="preserve">运行监测</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1.支持查看数据中心的数据概览情况；</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2.支持查看服务器集群资源总览；</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3.记录服务器节点内存使用率，以便及时观察调整资源利用率；</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4.支持查看节点CPU使用率；</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5.支持查看home/guandata磁盘使用率；</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6.支持查看服务器节点负载情况；</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7.支持对推送的数据和运行情况进行实时监控，管理单个推送主题推送状态，及时处理异常情况，查看推送日志，记录推送的详细信息，以保证数据推送稳定进行。</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bookmarkStart w:id="23" w:name="_Toc101375731"/>
      <w:r>
        <w:rPr>
          <w:rFonts w:hint="eastAsia" w:ascii="宋体" w:hAnsi="宋体" w:eastAsia="宋体" w:cs="宋体"/>
          <w:b/>
          <w:color w:val="auto"/>
          <w:sz w:val="24"/>
          <w:szCs w:val="22"/>
          <w:highlight w:val="none"/>
          <w:lang w:val="en-US" w:eastAsia="zh-CN" w:bidi="ar-SA"/>
        </w:rPr>
        <w:t xml:space="preserve">数据治理服务</w:t>
      </w:r>
      <w:bookmarkEnd w:id="23"/>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val="0"/>
          <w:bCs w:val="0"/>
          <w:color w:val="auto"/>
          <w:sz w:val="24"/>
          <w:szCs w:val="24"/>
          <w:highlight w:val="none"/>
          <w:lang w:val="en-US" w:eastAsia="zh-CN" w:bidi="ar-SA"/>
        </w:rPr>
        <w:tab/>
      </w:r>
      <w:r>
        <w:rPr>
          <w:rFonts w:hint="eastAsia" w:ascii="宋体" w:hAnsi="宋体" w:eastAsia="宋体" w:cs="宋体"/>
          <w:b/>
          <w:color w:val="auto"/>
          <w:sz w:val="24"/>
          <w:szCs w:val="24"/>
          <w:highlight w:val="none"/>
          <w:lang w:val="en-US" w:eastAsia="zh-CN" w:bidi="ar-SA"/>
        </w:rPr>
        <w:t xml:space="preserve">校级数据标准制定</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根据国家标准、教育部标准、行业标准和学校实际业务情况，兼顾各个标准之间的兼容性、一致性以及标准的可扩展性，并结合学校数据特点进行归纳整理，建设和完善学校的各项标准，制定学校自定义的编码规范，综合为学校设计出一套结构科学、落地实用的数据标准体系，为当期和未来所有业务系统/应用的建设提供顶层指导规范，并基于学校服务期限内使用的情况根据需求进行调整。</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2为学校提供的数据标准体系内容至少包括如下内容：</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（1）元数据标准；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（2）代码标准；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（3）编码规范；</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SA"/>
        </w:rPr>
        <w:t xml:space="preserve">（4）对象命名规范；</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3基于数据标准为学校提供标准化数据集，包括：</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学校概况数据子集、教学管理数据子集、教职工管理数据子集、学生管理数据子集等。满足校方根据需求随时添加数据子集。</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ab/>
      </w:r>
      <w:bookmarkStart w:id="24" w:name="_Toc101375733"/>
      <w:r>
        <w:rPr>
          <w:rFonts w:hint="eastAsia" w:ascii="宋体" w:hAnsi="宋体" w:eastAsia="宋体" w:cs="宋体"/>
          <w:b/>
          <w:color w:val="auto"/>
          <w:sz w:val="24"/>
          <w:szCs w:val="22"/>
          <w:highlight w:val="none"/>
          <w:lang w:val="en-US" w:eastAsia="zh-CN" w:bidi="ar-SA"/>
        </w:rPr>
        <w:t xml:space="preserve">全量数据采集服务</w:t>
      </w:r>
      <w:bookmarkEnd w:id="24"/>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color w:val="auto"/>
          <w:sz w:val="24"/>
          <w:szCs w:val="24"/>
          <w:highlight w:val="none"/>
          <w:lang w:val="en-US" w:eastAsia="zh-CN" w:bidi="ar-SA"/>
        </w:rPr>
        <w:t xml:space="preserve">业务系统数据采集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针对相关的业务系统，提供对该系统的数据识别/集成、业务调研、校级数据标准制定、数据清洗转换及加载进数据仓库、主题数据指标集市定制等服务。本项目业务系统数据采集范围包括但不限于人事、教务、科研、学工、学籍管理系统、OA办公系统、网络教学平台、宿舍管理系统、图书管理系统、数据中心、实习系统、实训系统、智慧校园平台、单点登录、一卡通、资产系统、等学校现有系统平台（后期学校新建系统平台）和本项目建设业务系统涉及到的数据。实现所有业务系统数据自动上传至数据中心。</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tab/>
      </w:r>
      <w:r>
        <w:rPr>
          <w:rFonts w:hint="eastAsia" w:ascii="宋体" w:hAnsi="宋体" w:eastAsia="宋体" w:cs="宋体"/>
          <w:b/>
          <w:color w:val="auto"/>
          <w:sz w:val="24"/>
          <w:szCs w:val="24"/>
          <w:highlight w:val="none"/>
          <w:lang w:val="en-US" w:eastAsia="zh-CN" w:bidi="ar-SA"/>
        </w:rPr>
        <w:t xml:space="preserve">数据质量检测服务</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val="0"/>
          <w:bCs w:val="0"/>
          <w:color w:val="auto"/>
          <w:sz w:val="24"/>
          <w:szCs w:val="24"/>
          <w:highlight w:val="none"/>
          <w:lang w:val="en-US" w:eastAsia="zh-CN" w:bidi="ar-SA"/>
        </w:rPr>
        <w:tab/>
      </w:r>
      <w:r>
        <w:rPr>
          <w:rFonts w:hint="eastAsia" w:ascii="宋体" w:hAnsi="宋体" w:eastAsia="宋体" w:cs="宋体"/>
          <w:b/>
          <w:color w:val="auto"/>
          <w:sz w:val="24"/>
          <w:szCs w:val="24"/>
          <w:highlight w:val="none"/>
          <w:lang w:val="en-US" w:eastAsia="zh-CN" w:bidi="ar-SA"/>
        </w:rPr>
        <w:t xml:space="preserve">数据质量检查</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对本次数据治理服务中集成的数据进行数据质量检测服务。</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数据标准校验</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1.监控和管理数据质量，包括数据完整性、一致性、准确性等方面；</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2.审核和验证数据的标准化规则和定义，确保数据的一致性和符合性；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3.提供自动化工具来支持数据标准化和元数据管理的任务；</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4.与数据标准化审核和验证模块集成，对数据标准化进行审核和验证。</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数据清洗</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业务系统数据清洗</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数据清洗规范应当包含但不限于如下要求：</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1.创建、管理数据流；</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2.设置数据自动更新规则，包括不更新和按分钟、小时、天等维度的全量更新；</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3.数据节点包括：选择字段、筛选、排序、添加列、分组汇总、字段设置、多表合并等；</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4.选择字段，可剔除重复字段或无用字段</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所有业务系统的数据接入并最终入库的过程都需要遵循数据清洗的规范要求，降低脏数据等对于业务和分析结果的影响。</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ab/>
      </w:r>
      <w:r>
        <w:rPr>
          <w:rFonts w:hint="eastAsia" w:ascii="宋体" w:hAnsi="宋体" w:eastAsia="宋体" w:cs="宋体"/>
          <w:b/>
          <w:color w:val="auto"/>
          <w:sz w:val="24"/>
          <w:szCs w:val="24"/>
          <w:highlight w:val="none"/>
          <w:lang w:val="en-US" w:eastAsia="zh-CN" w:bidi="ar-SA"/>
        </w:rPr>
        <w:t xml:space="preserve">线下数据清洗</w:t>
      </w:r>
      <w:r/>
    </w:p>
    <w:p>
      <w:pPr>
        <w:ind w:left="0" w:right="0" w:firstLine="0"/>
        <w:jc w:val="left"/>
        <w:keepLines w:val="0"/>
        <w:keepNext w:val="0"/>
        <w:pageBreakBefore w:val="0"/>
        <w:spacing w:beforeAutospacing="0" w:afterAutospacing="0" w:line="240" w:lineRule="auto"/>
        <w:tabs>
          <w:tab w:val="left" w:pos="780" w:leader="none"/>
          <w:tab w:val="left" w:pos="1710" w:leader="none"/>
          <w:tab w:val="left" w:pos="2955" w:leader="none"/>
        </w:tabs>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支持线下对于数据标准的数据表，进行必要的规范化、标准化清洗。</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ab/>
      </w:r>
      <w:r>
        <w:rPr>
          <w:rFonts w:hint="eastAsia" w:ascii="宋体" w:hAnsi="宋体" w:eastAsia="宋体" w:cs="宋体"/>
          <w:b/>
          <w:color w:val="auto"/>
          <w:sz w:val="24"/>
          <w:szCs w:val="24"/>
          <w:highlight w:val="none"/>
          <w:lang w:val="en-US" w:eastAsia="zh-CN" w:bidi="ar-SA"/>
        </w:rPr>
        <w:t xml:space="preserve">标准库管理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1.定义和管理数据的类别和分类体系，用于组织和查找数据；</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2.管理数据模型的定义、设计、变更和维护。</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模版管理</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4"/>
      </w:pPr>
      <w:r>
        <w:rPr>
          <w:rFonts w:hint="eastAsia" w:ascii="宋体" w:hAnsi="宋体" w:eastAsia="宋体" w:cs="宋体"/>
          <w:b w:val="0"/>
          <w:bCs w:val="0"/>
          <w:color w:val="auto"/>
          <w:sz w:val="24"/>
          <w:szCs w:val="24"/>
          <w:highlight w:val="none"/>
          <w:lang w:val="en-US" w:eastAsia="zh-CN" w:bidi="ar-SA"/>
        </w:rPr>
        <w:tab/>
      </w:r>
      <w:r>
        <w:rPr>
          <w:rFonts w:hint="eastAsia" w:ascii="宋体" w:hAnsi="宋体" w:eastAsia="宋体" w:cs="宋体"/>
          <w:b/>
          <w:color w:val="auto"/>
          <w:sz w:val="24"/>
          <w:szCs w:val="24"/>
          <w:highlight w:val="none"/>
          <w:lang w:val="en-US" w:eastAsia="zh-CN" w:bidi="ar-SA"/>
        </w:rPr>
        <w:t xml:space="preserve">创建管理模版</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1.创建并管理velocity模板引擎，用于配置大屏门户或其他应用场景；</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2.支持创建模板分组用于分类管理模板；</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3.支持模板库，内置大屏配置常用模板；</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4.可在空白的画布上新建大屏或报告，每一个组件相互独立，无需编码，拖拽操作即可实现自由布局，背景支持替换、缩放操作。支持代码的导入和导出；</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5.平台内置的所有组件均为一个独立的图层，可进行个性化的设置，对组件的边框，图表形状、位置，数值，坐标轴颜色、字体、字号，表格的行列等进行设置；</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6.支持以“URL”的形式分享给其他用户查看；</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7.支持互动模式、场景切换、大屏联动等画面显示功能；</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8.支持自定义无限制屏幕大小，屏幕等比缩放、屏幕铺满等多种渲染方式；</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9.支持数据刷新时间可视化设置，粒度可精确到秒级，也可以自定义设置数据刷新时间；</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10.平台提供丰富的大屏背景，可供用户灵活选择大屏背景色、样式和主题背景，平台预置各类大屏背景，内置不少于50套背景模板。</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权限管理</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创建管理中台权限</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添加并管理用户在中台的数据权限和功能权限。</w:t>
      </w:r>
      <w:r/>
    </w:p>
    <w:p>
      <w:pPr>
        <w:ind w:firstLine="482"/>
        <w:spacing w:line="360" w:lineRule="auto"/>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登录权限</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1.校验中台用户权限用于登录；</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2.角色权限接口。</w:t>
      </w:r>
      <w:r/>
    </w:p>
    <w:p>
      <w:pPr>
        <w:ind w:firstLine="482"/>
        <w:spacing w:line="360" w:lineRule="auto"/>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权限验证</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验证用户的权限是否符合要求，确保用户只能访问到自己有权限的数据和功能。</w:t>
      </w:r>
      <w:r/>
    </w:p>
    <w:p>
      <w:pPr>
        <w:ind w:firstLine="482"/>
        <w:spacing w:line="360" w:lineRule="auto"/>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角色权限管理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1.定义不同的数据角色，并为每个角色分配相应的数据权限，以实现数据权限的模块化管理；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2.控制用户对数据中台功能的访问权限，包括读、写、执行等操作权限；</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3.控制用户对数据中台数据的访问、修改、删除、下载等操作权限；</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4.支持权限的继承和维护机制，使得权限的管理和调整更加灵活和高效；</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5.允许管理员根据具体需求，自定义设置数据权限的规则和策略；</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SA"/>
        </w:rPr>
        <w:t xml:space="preserve">6.支持权限分配，将权限分配给不同的用户、角色，方便管理权限和授权。</w:t>
      </w:r>
      <w:r/>
    </w:p>
    <w:p>
      <w:pPr>
        <w:ind w:firstLine="482"/>
        <w:spacing w:line="360" w:lineRule="auto"/>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用户管理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1.创建，管理用户，赋予用户一个或多个角色权限；</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2.具有丰富的用户属性设置功能，支持设置用户的用户名、手机号、角色、状态、密码等各种属性；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3.监控和记录用户对数据的访问权限变更情况，包括权限的授予、修改和撤销等操作；</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4.支持多租户环境下的数据权限管理，使不同租户之间的数据访问得到隔离和保护；</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5.在用户访问数据时实时验证权限，确保用户只能访问其具有权限的数据；</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6.实现多级授权，确保权限只能由上级授权给下级；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7.用户管理、角色管理、菜单管理、部门管理、字典管理、参数设置等。</w:t>
      </w:r>
      <w:r/>
    </w:p>
    <w:p>
      <w:pPr>
        <w:ind w:firstLine="482"/>
        <w:spacing w:line="360" w:lineRule="auto"/>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数据权限</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1.设置用户或用户角色对数据字段的可见性和编辑权限，以限制敏感数据的访问和修改；</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2.管理数据的共享策略和权限，包括共享范围、共享目标和权限限制等设置；</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3.确保数据权限的即时生效，即在权限设定或修改后，用户立即受到权限限制；</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4.支持对数据权限的回滚和撤销操作，当权限变更出现问题时能快速恢复到之前的状态；</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5.控制用户或用户角色对不同数据维度的访问权限，以限制数据的可见性和使用范围；</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tab/>
      </w:r>
      <w:r>
        <w:rPr>
          <w:rFonts w:hint="eastAsia" w:ascii="宋体" w:hAnsi="宋体" w:eastAsia="宋体" w:cs="宋体"/>
          <w:b/>
          <w:color w:val="auto"/>
          <w:sz w:val="24"/>
          <w:szCs w:val="24"/>
          <w:highlight w:val="none"/>
          <w:lang w:val="en-US" w:eastAsia="zh-CN" w:bidi="ar-SA"/>
        </w:rPr>
        <w:t xml:space="preserve">数据资产管理</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数据资产查询</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用户可以根据业务需要，查看本单位数据资产。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数据资产地图：用户可以根据业务需要，查看本单位数据资产地图。</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数据需求审核：数据资源的拥有部门对数据查看申请进行审批。</w:t>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微服务基础平台及配套应用</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微服务基础平台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1.用户管理支持对用户基本信息、单位组织架构、用户扩展属性、用户角色、单位认证管理的个性化管理；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学校可以根据自身的情况，在平台上进行组织架构的个性化管理；支持单次管理批量管理，为学校提供导入模板，满足学校批量录入信息的需求，自动生成学校的组织架构和人员信息，支持社区教育人员分类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3.平台上的应用只要涉及到人员架构信息，都会从组织架构里统一调取；</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4.可以通过应用市场和自建应用两种方式添加学校的应用库；</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5.提供不少于18种低代码工具引擎，满足学校根据需求搭建基于数据和流程的业务系统；</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在确定好所需应用后，可以对应用自定义分类，并对单位分类和应用进行增、删、改操作；对单个应用进行修改基本信息、设置管理员操作；另外，可以从应用管理直接进入每个应用对应的后台；管理完成后，可以预览调整应用显示顺序及效果，操作完成后，配置好的单位应用中心将同步显示在移动端和个人空间界面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7.提供灵活的终端管理工具，具备可视化全功能后台，学校可以自定义设置学校门户、移动端功能界面、个人空间、大数据屏展示和管理后台；</w:t>
      </w:r>
      <w:r/>
    </w:p>
    <w:p>
      <w:pPr>
        <w:ind w:firstLine="482"/>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8.门户配置：可以快速开通门户，输入门户基本信息即可定制域名，要求预置多套模板，学校根据情况随意选择，快速进行个性化配置，支持多种尺寸版型，同时自适应手机端，内置多种功能控件，后台支持自助管理和维护，发布立即生效。（需提供真实系统对应功能截图或供货期内能开发出符合要求的承诺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9.移动端配置：需要支持对首页显示的banner、应用、通讯录进行配置和管理；可根据角色的不同配置专属的角色首页界面；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10.个人空间配置：需要支持页面、左侧菜单、工作台、PC 端应用配置，可以将最近使用的模块加入常用当中，减少信息干扰；可根据角色的不同配置专属的界面；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11.大数据屏管理：需要主要包括版面布局、模块管理和大屏地址管理；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12.管理后台：需要支持按角色对二级管理员后台的权限设置；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13.数据中心需要汇聚学校应用数据，并实现其他应用开发对数据的统一调用；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14.在开放平台，需要为单位开发者提供开发环境、数据接口和开发标准，第三方公司和学校可以基于该平台，按照标准开发应用，对接到该平台；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15.满足管理员管理、单位基础信息设置、管理员权限设置、单位转让的要求；</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16.需要为微服务平台有配套的 PC 端使用入口，根据用户不同的身份，使用的微应用不同，满足用户个人的学习、教学、办公、活动等需求，并且包含课程、笔记、消息、收藏、小组、云盘等基础功能；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17.需要通过管理后台对学校组织架构和应用设置后，会同步到相应的移动端；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18.移动端需要满足全业务场景需求，提供教学、管理和校园活动等各项服务；</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19.需要支持将用户行为数据、应用分析数据以及特色数据以接口形式展示到学校不同场地的大屏上；</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20.统一身份认证，提供跨区域、跨机构、跨平台、跨应用的用户角色管理方式，实现多个系统的统一角色管理、统一用户管理和统一授权访问；对学校的组织、用户、角色等信息进行统一管理；</w:t>
      </w:r>
      <w:r/>
    </w:p>
    <w:p>
      <w:pPr>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配套应用</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预约应用引擎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1.需要提供自建预约应用引擎，支持根据本单位实际情况定制、管理预约类应用；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2.需要支持配置设置预约对象的属性，上传预约对象图片；允许提前预约天数，每日预约的起止时间，以及时间单位；支持可视化预约</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3.需要支持仅管理员创建预约对象或所有人均可创建预约对象；</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4支持使用人员查看联系管理人员，已预约人员；查看预约记录，并可随时取消；预约审批功能，审批通过后预约才能成功；</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5.管理员可取消预约，并可查看导出所有预约记录；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6.需要支持会议室、场馆、座位等预约场景。</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表单引擎 </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需要提供自建表单应用引擎；支持单位创建、发布、管理个性化表单；功能包含表单配置、发放和数据回收管理；</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要支持编辑表单应用名称、图标及拖拽字段；</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需要提供丰富的字段库，支持各类信息的准确收集；除文本、数字、日期、单选多选等基本字段类型外，还支持矩阵选择、滑动条、自动编号、计算公式等高级字段；</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需要满足部分字段具有关联其他表单字段、数据联动、从第三方获取数据的功能，可用于实现表单之间数据的关联和联动；</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需要满足针对前台填写应用，支持设置填写有效时段、收集数量上限、用户填写次数上限、数据修改权限等；</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需要支持自定义表单填写页样式、并提供多套模板；</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需要支持自定义表单提交后的提示页面；</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需要支持设置推送提醒，当数据有新增、修改或删除时，可根据预设条件对指定对象发送通知提醒；</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需要满足针对后台数据管理页面，支持设置显示字段、数据排序规则等；支持自定义页面内展示内容模块的显示与隐藏；</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需要满足后台数据管理页支持按条件查询数据，包括按提交时间、按提交人等条件进行筛选，并支持自定义添加筛选项；</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需要支持多维度的权限设置，可针对不同角色分别设置其数据管理权限、字段权限和操作权限；</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需要支持自定义添加操作按钮，可自定义此类操作按钮的显示规则；</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需要支持审核设置，管理员可在后台直接对数据进行通过/不通过的简单审核操作，并可针对不同审核结果设置对提交人发送审核结果通知；</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需要支持设置提交校验，可以通过公式设置表单提交检验条件（不满足公式的数据将不能提交），也可配置第三方校验接口、由第三方返回校验结果决定表单是否可以提交；</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需要支持通过调用接口从外部获取数据填充本表单，提供更灵活的表单填写方式；</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需要支持通过数据推送将操作与变更后的数据推送至指定服务器，使表单可作为一个开放的数据源；</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需要支持在一个表单新增、修改或删除数据后，自动在本单位其他表单或审批中新增数据、将符合条件的数据修改为指定的值、或删除指定数据；</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需要支持设置在指定的时间自动更新表单内日期时间间隔天数，或修改指定字段的值；</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需要支持数据批量导入，并支持仅新增数据、仅更新数据，更新和新增数据 3 种模式；</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需要支持数据导出，可将收集到的数据导出为 excel 文件，并支持导出时自行勾选所需字段；</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需要支持表单应用创建者或管理员修改或删除表单应用数据；</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需要支持应用管理员、部门主管和单位管理员在手机上查看所有提交数据，并支持导出；</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需要支持统计表单未提交人员；</w:t>
      </w:r>
      <w:r/>
    </w:p>
    <w:p>
      <w:pPr>
        <w:numPr>
          <w:ilvl w:val="0"/>
          <w:numId w:val="9"/>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需要支持在微信、QQ 或浏览器上填写表单。</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审批引擎 </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需要提供自建审批应用引擎；支持单位创建、发布、管理个性化审批；</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需要支持修改审批名和审批应用的图标；</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需要支持根据组件库拖拽生成审批页面；组件包含：单行输入、多行输入、数字输入、单选、多选、日期、日期区间、联系人、部门、说明文字、下拉框、下拉复选、多级下拉、子表单、图片、附件、 定位、计算公式、滑动条、手写签名、地址、自动编号、关联审批、按钮、选择数据；</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需要具有多种预置好的业务组件包可供选择，包含：请假套件、外出套件、加班套件、补卡套件；</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需要具有丰富的字段属性设置功能，支持设置字段的标题、别名、描述、默认值、格式、是否必填、校验、权限、样式等各种属性，能够实现复杂表单的自定义创建及修改，无需定制开发；</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部分字段需要具有关联其它表单数据、数据联动、从第三方获取数据的功能；能够实现多表、多流程间的数据关联和联动；</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需要具有流程编辑页面，操作简单易上手，流程清晰直观，所见即所得；</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需要满足流程支持设置条件，实现在同一个审批应用，可以根据不同的条件走不同的审批流程；</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需要支持多种审批人类型，包括：发起人自选（选一个和选多个）、指定人员、主管审批、角色审批；</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需要满足多人审批环节支持设置为或签或者会签；</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需要满足支持多种抄送人类型，包括：发起人自选、指定抄送人、角色抄送人；</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需要支持多种抄送方式：包括流程发起时抄送、流程结束时抄送、发起和结束时都抄送；</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需要支持给流程中的每个审批人环节设置单独的环节名称、表单操作权限、操作按钮以及操作按钮的排序和名称；</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审批人在处理审批时，需要支持添加处理意见、手写签名、电子签章，支持进行同意、拒绝、转他人审批、开始处理、回退操作；</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需要支持给每个审批人环节设置自动提醒，审批人到时间后还未处理审批，系统将会自动发送通知进行提醒；</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需要支持设置审批人去重，实现同一个流程中多次出现的审批人只需同意一次，后续自动通过；</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需要支持设置多种审批发起限制；如审批发起时间段限制、发起次数限制、是否允许多次发起、是否允许撤回等；</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需要支持设置自定义审批标题；</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需要支持设置 PC 端流程表单填写时为多列的样式，并且可以自定义每个字段在表单内的显示宽度；</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审批的数据后台，需要支持查看和导出所有的数据；导出支持 excel 、pdf 文件等多种格式；</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审批的数据后台，需要支持自定义设置数据表的各类操作按钮、筛选项、字段显示顺序、字段显示状态、字段显示名称，以及数字及公式的自动合计计算；</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审批后台需要支持按角色分配数据查看和操作权限；</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需支持自定义配置审批发起后的提示页面；</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需要支持设置审批的前置条件；前置条件可以在流程表单字段的值发生变动时，自动调用外部接口，并获取数据，将数据写入对应的字段中；</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需要支持设置审批的数据推送；当表单数据发生变化时，使用数据推送可将操作与变更后的数据推送至指定服务器；</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需要支持当一个流程新增或者修改数据后，在其他数据表或审批数据中新增指定数据或将符合条件的数据修改为指定的值；</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需要支持设置审批的提交检验条件，不满足条件数据将不能提交；校验条件可以是公式或者第三方校验接口；</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需要具有管理员操作日志，可以查看每个管理员对流程的编辑和修改。</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查询引擎 </w:t>
      </w:r>
      <w:r/>
    </w:p>
    <w:p>
      <w:pPr>
        <w:numPr>
          <w:ilvl w:val="0"/>
          <w:numId w:val="11"/>
        </w:numPr>
        <w:ind w:left="0" w:firstLine="24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需提供信息查询应用引擎，支持单位线上创建、编辑、管理信息查询应用； </w:t>
      </w:r>
      <w:r/>
    </w:p>
    <w:p>
      <w:pPr>
        <w:numPr>
          <w:ilvl w:val="0"/>
          <w:numId w:val="11"/>
        </w:numPr>
        <w:ind w:left="0" w:firstLine="24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 pc 上传 excel 文件创建查询应用； </w:t>
      </w:r>
      <w:r/>
    </w:p>
    <w:p>
      <w:pPr>
        <w:numPr>
          <w:ilvl w:val="0"/>
          <w:numId w:val="11"/>
        </w:numPr>
        <w:ind w:left="0" w:firstLine="24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需要支持拖拽上传 excel 文件； </w:t>
      </w:r>
      <w:r/>
    </w:p>
    <w:p>
      <w:pPr>
        <w:numPr>
          <w:ilvl w:val="0"/>
          <w:numId w:val="11"/>
        </w:numPr>
        <w:ind w:left="0" w:firstLine="24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需支持自定义查询应用名称、图标； </w:t>
      </w:r>
      <w:r/>
    </w:p>
    <w:p>
      <w:pPr>
        <w:numPr>
          <w:ilvl w:val="0"/>
          <w:numId w:val="11"/>
        </w:numPr>
        <w:ind w:left="0" w:firstLine="24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需支持重新编辑、删除已建好的查询项目； </w:t>
      </w:r>
      <w:r/>
    </w:p>
    <w:p>
      <w:pPr>
        <w:numPr>
          <w:ilvl w:val="0"/>
          <w:numId w:val="11"/>
        </w:numPr>
        <w:ind w:left="0" w:firstLine="24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需支持单个查询应用创建多个查询项目； </w:t>
      </w:r>
      <w:r/>
    </w:p>
    <w:p>
      <w:pPr>
        <w:numPr>
          <w:ilvl w:val="0"/>
          <w:numId w:val="11"/>
        </w:numPr>
        <w:ind w:left="0" w:firstLine="24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需要支持自定义查询项目名称； </w:t>
      </w:r>
      <w:r/>
    </w:p>
    <w:p>
      <w:pPr>
        <w:numPr>
          <w:ilvl w:val="0"/>
          <w:numId w:val="11"/>
        </w:numPr>
        <w:ind w:left="0" w:firstLine="24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需支持设置查询项目备注信息以及查询结果页提示信息； </w:t>
      </w:r>
      <w:r/>
    </w:p>
    <w:p>
      <w:pPr>
        <w:numPr>
          <w:ilvl w:val="0"/>
          <w:numId w:val="11"/>
        </w:numPr>
        <w:ind w:left="0" w:firstLine="24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需支持个人信息查询类型：自动识别用户身份，通过用户登录的账号信息自动查询数据； </w:t>
      </w:r>
      <w:r/>
    </w:p>
    <w:p>
      <w:pPr>
        <w:numPr>
          <w:ilvl w:val="0"/>
          <w:numId w:val="11"/>
        </w:numPr>
        <w:ind w:left="0" w:firstLine="24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需支持自定义信息查询查询类型：可设置表中各字段是否可查，来自定义查询项目；用户通过输入查询条件，查询数据；</w:t>
      </w:r>
      <w:r/>
    </w:p>
    <w:p>
      <w:pPr>
        <w:numPr>
          <w:ilvl w:val="0"/>
          <w:numId w:val="11"/>
        </w:numPr>
        <w:ind w:left="0" w:firstLine="24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 app 使用查询应用查询数据； </w:t>
      </w:r>
      <w:r/>
    </w:p>
    <w:p>
      <w:pPr>
        <w:numPr>
          <w:ilvl w:val="0"/>
          <w:numId w:val="11"/>
        </w:numPr>
        <w:ind w:left="0" w:firstLine="24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需要满足移动端支持关键字搜索查询项目。</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图表引擎 </w:t>
      </w:r>
      <w:r/>
    </w:p>
    <w:p>
      <w:pPr>
        <w:numPr>
          <w:ilvl w:val="0"/>
          <w:numId w:val="12"/>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需要提供自建图表应用引擎，支持单位创建、发布、管理个性化展示图表； </w:t>
      </w:r>
      <w:r/>
    </w:p>
    <w:p>
      <w:pPr>
        <w:numPr>
          <w:ilvl w:val="0"/>
          <w:numId w:val="12"/>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需支持编辑图表应用名称及图标； </w:t>
      </w:r>
      <w:r/>
    </w:p>
    <w:p>
      <w:pPr>
        <w:numPr>
          <w:ilvl w:val="0"/>
          <w:numId w:val="12"/>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需支持设置图表数据源，支持 Excel上传、本单位表单应用、本单位审批应用等多种数据来源； </w:t>
      </w:r>
      <w:r/>
    </w:p>
    <w:p>
      <w:pPr>
        <w:numPr>
          <w:ilvl w:val="0"/>
          <w:numId w:val="12"/>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需支持从图表库中选择展示图表的类型，图表库包含：柱状图、堆叠柱状图、条状图、堆叠条状图、折线图、饼状图、明细表格等； </w:t>
      </w:r>
      <w:r/>
    </w:p>
    <w:p>
      <w:pPr>
        <w:numPr>
          <w:ilvl w:val="0"/>
          <w:numId w:val="12"/>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需要支持设置图表展示维度和数值； </w:t>
      </w:r>
      <w:r/>
    </w:p>
    <w:p>
      <w:pPr>
        <w:numPr>
          <w:ilvl w:val="0"/>
          <w:numId w:val="12"/>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需要满足数字类型的数值可设置聚合统计方式：默认统计总数，另可选择统计平均值、最大值、最小值或计次等； </w:t>
      </w:r>
      <w:r/>
    </w:p>
    <w:p>
      <w:pPr>
        <w:numPr>
          <w:ilvl w:val="0"/>
          <w:numId w:val="12"/>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需支持设置辅助线，可添加辅助线：平均值、最大值、最小值； </w:t>
      </w:r>
      <w:r/>
    </w:p>
    <w:p>
      <w:pPr>
        <w:numPr>
          <w:ilvl w:val="0"/>
          <w:numId w:val="12"/>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需要支持设置数据过滤，可根据数据源字段进行数值过滤、只统计并展示需要的数值；支持添加多个过滤条件； </w:t>
      </w:r>
      <w:r/>
    </w:p>
    <w:p>
      <w:pPr>
        <w:numPr>
          <w:ilvl w:val="0"/>
          <w:numId w:val="12"/>
        </w:num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需要满足配置好的图表应用支持 PC 端和移动端多终端展示。</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活动管理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需要支持对单位已发布的各类活动进行统一检索，便于读者快速查找获取相关的活动信息；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需要支持精确检索，提供各类活动分类聚类检索，如学术、会议、社团等；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需要支持按活动进行状态筛选分类，包括进行中、待开始、已结束、待发布、待审核、已下架；其中，待发布、待审核、已下架三种状态仅活动管理员可见；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需要支持活动信息卡片式展示，包括活动宣传图、活动当前进行状态、当前活动报名状态、活动名称、活动时间、活动地点、活动主办方、活动类型、活动浏览量、活动报名量、评论量、评分等信息；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活动详细信息展示，包括活动详情、集锦和展览支持活动详情展示，包括活动宣传图、活动当前进行状态、当前活动评分、名称、时间、地点、类型、主办方、报名人数、介绍、评论区数据、当前报名状态、当前报名名单、当前活动收藏状态等信息；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需要支持活动报名、评论、收藏、分享机制；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需要支持创建活动，包括活动 banner图上传、活动标题、活动时间、活动地点、活动类型、活动主办方、活动介绍、是否显示报名人数、是否限制报名人数、是否显示报名名单、报名日期限制、报名表单设置、报名审批设置、作品设置、是否开放评论区等活动信息的编辑；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自定义报名表单，包括随机拖拽各个基础字段（单行输入、多行输入、数字输入、日期、单选、多选、下拉框、下拉复选、说明文字等）和高级字段（图片、附件、子表单等），便于用户填写个人信息，快速收集活动报名人员数据，如姓名、性别、联系方式等；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需要支持报名审批机制，实现用户报名成功同时提交活动管理员审批，审批通过即报名成功；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需要支持生成活动二维码，实现二维码快速转发到消息、小组、微信好友、朋友圈、QQ 等传播渠道；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支持用户自主上传活动作品；活动管理员可自定义设置开启/关闭活动作品上传；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需提供单一活动的管理，包括发活动通知、发签到、报名名单、签到统计、编辑活动、活动集锦、下架活动等；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需支持发活动通知，面向活动已报名的用户传递活动信息，将通知、图片、文档和视频等资源融合，实时统计通知的未读/已读信息情况，实现活动进度的有效监管；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需要支持活动报名名单的数据导出；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需支持活动签到数据的统一呈现；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需要支持活动集锦的编辑管理，实现基于活动过程快速记录并发布活动信息，管理员可编辑活动文案以及上传活动图片、活动视频等，以富媒体形式展现活动集锦；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需支持活动作品展览的管理，实现活动作品的上传和展示；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需支持活动发布审核机制，活动创建人创建活动后需提交审核，单位负责人审核通过后正式发布活动； </w:t>
      </w:r>
      <w:r/>
    </w:p>
    <w:p>
      <w:pPr>
        <w:numPr>
          <w:ilvl w:val="0"/>
          <w:numId w:val="13"/>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需支持活动下架功能，实现活动信息卡片在用户端的隐藏。</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校历公告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（1）需要支持在后台按时间、地点、内容、责任人等字段添加公告内容；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（2）后台需要支持校历公告的导入、导出、查询等操作；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（3）需要支持用户在 pc 端和移动端查看校历公告；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（4）需支持用户基于校历公告添加个人备忘录。</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失物招领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需满足可在失物招领自由发布捡到和丢失的物品,同时在发布状态下可选择捡到/丢失该物品完成物品的认领或归还过程。</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资讯聚合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需要满足通过资讯了解到校园的最新公告、活动等信息。</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阅读数据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满足通过对老师和学生阅读行为的统计分析，得出阅读关键词、阅读时长等阅读数据，并设置阅读排行、阅读挑战等功能，鼓励老师和学生的阅读；此外，根据阅读习惯，后台会个性化推荐一些相关书籍，老师和学生可以快速开始阅读；有利于帮助学生培养阅读习惯，提高阅读效率。</w:t>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一体化门户（办事大厅）</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一体化PC门户</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一体化门户将所有进行了服务流程优化的系统、应用、流程整合为一个易于终端用户使用的用户界面，应用支持根据服务对象、应用类型、应用名称进行检索，应用的界面能提供简单表单式的、业务流程节点信息相关的集成信息展示与填写，使得用户能不变换页面的情况下实现“一站式服务”；总体界面根据不同用户角色进行分类展示，常用的学生界面、教师界面、访客界面、社区教育界面。主要功能需求如下： </w:t>
      </w:r>
      <w:r/>
    </w:p>
    <w:p>
      <w:pPr>
        <w:numPr>
          <w:ilvl w:val="0"/>
          <w:numId w:val="14"/>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一体化门户中，所有应用、服务的总体入口，支持检索、收藏、推荐、筛选等操作，支持多种查找方式；</w:t>
      </w:r>
      <w:r/>
    </w:p>
    <w:p>
      <w:pPr>
        <w:numPr>
          <w:ilvl w:val="0"/>
          <w:numId w:val="14"/>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通过元数据索引，为用户提供综合搜索服务，用户可一站式的对于融合门户的应用、资源、资讯等内容进行综合搜索快速获取；</w:t>
      </w:r>
      <w:r/>
    </w:p>
    <w:p>
      <w:pPr>
        <w:numPr>
          <w:ilvl w:val="0"/>
          <w:numId w:val="14"/>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开放消息推送 api，供学校各业务系统或应用来调用，提供统一的消息中心，各业务系统及应用的消息由门户统一分发处理，实现各类动态信息的一站式查阅；消息提醒包含：待办消息，应用消息，通知消息等；</w:t>
      </w:r>
      <w:r/>
    </w:p>
    <w:p>
      <w:pPr>
        <w:numPr>
          <w:ilvl w:val="0"/>
          <w:numId w:val="14"/>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资讯服务是校园综合服务门户的资讯聚集地，它将校园内的各类新闻、通知公告、生活资讯最新、最快的展示给校内师生；</w:t>
      </w:r>
      <w:r/>
    </w:p>
    <w:p>
      <w:pPr>
        <w:numPr>
          <w:ilvl w:val="0"/>
          <w:numId w:val="14"/>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提供完整的日程展现，支持校历周和自然日期的聚合展现，一方面可以按照学年学期来查看，也可以按照自然年月来展现；</w:t>
      </w:r>
      <w:r/>
    </w:p>
    <w:p>
      <w:pPr>
        <w:numPr>
          <w:ilvl w:val="0"/>
          <w:numId w:val="14"/>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门户支持根据用户身份进行自我调整；常用的学生界面、教师界面、访客界面、社区教育界面；</w:t>
      </w:r>
      <w:r/>
    </w:p>
    <w:p>
      <w:pPr>
        <w:numPr>
          <w:ilvl w:val="0"/>
          <w:numId w:val="14"/>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用户与架构管理：平台需提供完善的用户管理模块，包括帐号的新增、发放、维护、注销管理，旨在帮助管理员完成全校身份帐号数据的增加、删除、修改、过期设置、变更生命周期以及锁定/解锁等操作；</w:t>
      </w:r>
      <w:r/>
    </w:p>
    <w:p>
      <w:pPr>
        <w:numPr>
          <w:ilvl w:val="0"/>
          <w:numId w:val="14"/>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应用服务分类：支持管理员自定义应用服务分类，包括服务主题、责任部门、应用服务标签等，支持分类排序、是否启用，应用服务支持设定多个分类模式；单一分类模式下也可设定多个不同属性值；</w:t>
      </w:r>
      <w:r/>
    </w:p>
    <w:p>
      <w:pPr>
        <w:numPr>
          <w:ilvl w:val="0"/>
          <w:numId w:val="14"/>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分级与授权管理：从实际业务场景角度考虑，统一授权并不对业务系统中具体存在的业务权限进行管理，只对业务权限凝聚到的角色进行管理，为角色分配用户或用户组；因此，整个授权管理中心围绕角色内部的用户管理和与业务系统之间的角色同步进行建设。</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 移动端 APP</w:t>
      </w:r>
      <w:r/>
    </w:p>
    <w:p>
      <w:pPr>
        <w:numPr>
          <w:ilvl w:val="0"/>
          <w:numId w:val="15"/>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支持适配目前主流设备和操作系统；支持 IOS 、安卓和鸿蒙设备访问；提供符合学校特色的移动门户设计；移动门户可通过微服务应用管理中心进行统一管理，可在后台进行应用上下架、页面办事切换等管理操作；</w:t>
      </w:r>
      <w:r/>
    </w:p>
    <w:p>
      <w:pPr>
        <w:numPr>
          <w:ilvl w:val="0"/>
          <w:numId w:val="15"/>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微服务市场，办事大厅移动端可用的服务以移动校园平台方式进行展示，用户可在移动根据需求添加自己所需的微服务；</w:t>
      </w:r>
      <w:r/>
    </w:p>
    <w:p>
      <w:pPr>
        <w:numPr>
          <w:ilvl w:val="0"/>
          <w:numId w:val="15"/>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移动需提供微服务支撑我校的智慧校园建设，灵活配置学校智慧校园综合管理的各项应用；</w:t>
      </w:r>
      <w:r/>
    </w:p>
    <w:p>
      <w:pPr>
        <w:numPr>
          <w:ilvl w:val="0"/>
          <w:numId w:val="15"/>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移动应与 PC 端服务保持一致，提供多样化服务；根据学校的特色、重点展示内容提供个性化的移动门户，学校可自定义展示栏目、内容，支持后台管理应用：添加、删除、排序等；支持学校按照身份、部门进行多样性页面开发，用户通过邀请码可进入不同的移动门户页面，支持随时切换。</w:t>
      </w:r>
      <w:r/>
    </w:p>
    <w:p>
      <w:pPr>
        <w:numPr>
          <w:ilvl w:val="0"/>
          <w:numId w:val="15"/>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学生空间：</w:t>
      </w:r>
      <w:r/>
    </w:p>
    <w:p>
      <w:pPr>
        <w:ind w:firstLine="482"/>
        <w:jc w:val="left"/>
        <w:spacing w:after="160" w:line="278"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1、手机和学生端均可支持学生进行 课表、选课、成绩、学业进程、考试信息、个人信息、教务通知的查询；请假申请、外出报批、学籍异动、实习岗位申请等事务办理。（需提供真实系统对应功能截图或供货期内能开发出符合要求的承诺函）</w:t>
      </w:r>
      <w:r/>
    </w:p>
    <w:p>
      <w:pPr>
        <w:ind w:firstLine="480"/>
        <w:jc w:val="left"/>
        <w:spacing w:after="160" w:line="278"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2、需提供网络云盘功能，提供给全校师生进行资料上传、下载、相关学习文件保存。</w:t>
      </w:r>
      <w:r/>
    </w:p>
    <w:p>
      <w:pPr>
        <w:numPr>
          <w:ilvl w:val="0"/>
          <w:numId w:val="15"/>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教师空间：</w:t>
      </w:r>
      <w:r/>
    </w:p>
    <w:p>
      <w:pPr>
        <w:ind w:firstLine="480"/>
        <w:jc w:val="left"/>
        <w:spacing w:after="160" w:line="278"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需支持手机调课、停课、补课、借空教室等各类申请审批，并发送通知到审批人和申请人，并自动变更课表。支持调停课申请人因公因私分类申请，可在单条调课申请信息中添加多门课程，实现调课课时量的统一核算；</w:t>
      </w:r>
      <w:r/>
    </w:p>
    <w:p>
      <w:pPr>
        <w:ind w:firstLine="480"/>
        <w:jc w:val="left"/>
        <w:spacing w:after="160" w:line="278"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2、手机和教师端需满足教师端可进行个人信息、教务通知、课表、空教室、全校性课表的查询；</w:t>
      </w:r>
      <w:r/>
    </w:p>
    <w:p>
      <w:pPr>
        <w:ind w:firstLine="480"/>
        <w:jc w:val="left"/>
        <w:spacing w:after="160" w:line="278"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3、需满足教师端通过课表查询上课相关资料，可对应教学任务撰写教师日志和在线记录考勤状态；</w:t>
      </w:r>
      <w:r/>
    </w:p>
    <w:p>
      <w:pPr>
        <w:ind w:firstLine="480"/>
        <w:jc w:val="left"/>
        <w:spacing w:after="160" w:line="278"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4、需支持手机端直接对接教学平台，对接后可在教学平台进行签到、在线测试、选人、发放资料、投屏等操作。 </w:t>
      </w:r>
      <w:r/>
    </w:p>
    <w:p>
      <w:pPr>
        <w:ind w:firstLine="480"/>
        <w:jc w:val="left"/>
        <w:spacing w:after="160" w:line="278"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支持工资查询、人事信息补充、党员活动参与、教科研信息填报、资产借用、资产报废申请、图书查询、</w:t>
      </w:r>
      <w:r/>
    </w:p>
    <w:p>
      <w:pPr>
        <w:numPr>
          <w:ilvl w:val="0"/>
          <w:numId w:val="15"/>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访客空间</w:t>
      </w:r>
      <w:r/>
    </w:p>
    <w:p>
      <w:pPr>
        <w:ind w:firstLine="482"/>
        <w:jc w:val="left"/>
        <w:spacing w:after="160" w:line="278"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支持通过学校特定邀请码进入学校移动端特定访客界面。（需提供真实系统对应功能截图或供货期内能开发出符合要求的承诺函）</w:t>
      </w:r>
      <w:r/>
    </w:p>
    <w:p>
      <w:pPr>
        <w:numPr>
          <w:ilvl w:val="0"/>
          <w:numId w:val="15"/>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管理空间：</w:t>
      </w:r>
      <w:r/>
    </w:p>
    <w:p>
      <w:pPr>
        <w:ind w:firstLine="480"/>
        <w:jc w:val="left"/>
        <w:spacing w:after="160" w:line="278"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1、需支持管理者通过手机查询全校课表，如班级课表、教师课表、课程课表、教室课表及考试安排信息查询。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2、需支持全校学生数据、教师数据、课程数据的查询统计分析。</w:t>
      </w:r>
      <w:r/>
    </w:p>
    <w:p>
      <w:pPr>
        <w:numPr>
          <w:ilvl w:val="0"/>
          <w:numId w:val="0"/>
        </w:numPr>
        <w:ind w:firstLine="480"/>
        <w:jc w:val="both"/>
        <w:spacing w:line="360" w:lineRule="auto"/>
        <w:widowControl w:val="off"/>
        <w:rPr>
          <w:rFonts w:hint="eastAsia" w:ascii="宋体" w:hAnsi="宋体" w:eastAsia="宋体" w:cs="宋体"/>
          <w:b w:val="0"/>
          <w:bCs w:val="0"/>
          <w:i/>
          <w:iCs/>
          <w:color w:val="auto"/>
          <w:sz w:val="24"/>
          <w:highlight w:val="none"/>
          <w:u w:val="single"/>
          <w:lang w:val="en-US" w:eastAsia="zh-CN" w:bidi="ar-SA"/>
        </w:rPr>
      </w:pPr>
      <w:r>
        <w:rPr>
          <w:rFonts w:hint="eastAsia" w:ascii="宋体" w:hAnsi="宋体" w:eastAsia="宋体" w:cs="宋体"/>
          <w:b w:val="0"/>
          <w:bCs w:val="0"/>
          <w:i/>
          <w:iCs/>
          <w:color w:val="auto"/>
          <w:sz w:val="24"/>
          <w:highlight w:val="none"/>
          <w:u w:val="single"/>
          <w:lang w:val="en-US" w:eastAsia="zh-CN" w:bidi="ar-SA"/>
        </w:rPr>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智慧教学系统</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平台须支持与国家智慧教育云平台对接，支持云部署，由供应商提供信息安全维护，质保期内负责平台模块升级。</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支持辅助教学、翻转课堂、纯网络学习、直播、社区教育、在线教育（培训）、职业教育多种教学需求模式；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教师端提供课程管理、教师团队管理、班级管理、助教管理、统计、考试及作业管理、课程通知管理等。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学生端提供课程学习、作业、考试、小组讨论、等功能</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总体功能要求</w:t>
      </w:r>
      <w:r/>
    </w:p>
    <w:p>
      <w:pPr>
        <w:numPr>
          <w:ilvl w:val="0"/>
          <w:numId w:val="16"/>
        </w:numPr>
        <w:ind w:left="425" w:hanging="425"/>
        <w:spacing w:line="360" w:lineRule="auto"/>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系统并发数要求：100人同时登陆，系统响应时间不高于1000ms；400人同时互动教学，系统响应时间不高于1500ms；500人同时资料下载，系统响应时间不高于2000ms；500人同时在线授课，系统响应时间不高于1200ms；300人同时作业批改，系统响应时间不高于1000ms；系统稳定性：需支持200人在线连续运行30天无崩溃，故障率不高于0.5%。（需提供真实系统对应功能截图或供货期内能开发出符合要求的承诺函）</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网络课程建设</w:t>
      </w:r>
      <w:r/>
    </w:p>
    <w:p>
      <w:pPr>
        <w:numPr>
          <w:ilvl w:val="0"/>
          <w:numId w:val="17"/>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课程主页封面支持填写教师团队、使用教材、课程介绍等。</w:t>
      </w:r>
      <w:r/>
    </w:p>
    <w:p>
      <w:pPr>
        <w:numPr>
          <w:ilvl w:val="0"/>
          <w:numId w:val="17"/>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支持添加其他教师作为教师团队共建课程，设置管理课程的权限。支持添加社区教育教室作为教师团队成员。</w:t>
      </w:r>
      <w:r/>
    </w:p>
    <w:p>
      <w:pPr>
        <w:numPr>
          <w:ilvl w:val="0"/>
          <w:numId w:val="17"/>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教师可通过平台上传课程所需要的教材、参考书、参考文献、教学视频、社区教育等资源。</w:t>
      </w:r>
      <w:r/>
    </w:p>
    <w:p>
      <w:pPr>
        <w:numPr>
          <w:ilvl w:val="0"/>
          <w:numId w:val="17"/>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支持多种文档格式的上传，上传后自动转码，在线阅读。</w:t>
      </w:r>
      <w:r/>
    </w:p>
    <w:p>
      <w:pPr>
        <w:numPr>
          <w:ilvl w:val="0"/>
          <w:numId w:val="17"/>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支持1G以上文件上传并可断点续传。</w:t>
      </w:r>
      <w:r/>
    </w:p>
    <w:p>
      <w:pPr>
        <w:numPr>
          <w:ilvl w:val="0"/>
          <w:numId w:val="17"/>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支持将教学资料上传个人云盘中，然后在课程中引用。</w:t>
      </w:r>
      <w:r/>
    </w:p>
    <w:p>
      <w:pPr>
        <w:numPr>
          <w:ilvl w:val="0"/>
          <w:numId w:val="17"/>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可以根据关键词自动生成相关知识树，并插入到课程单元中</w:t>
      </w:r>
      <w:r/>
    </w:p>
    <w:p>
      <w:pPr>
        <w:numPr>
          <w:ilvl w:val="0"/>
          <w:numId w:val="17"/>
        </w:numPr>
        <w:ind w:left="425" w:hanging="425"/>
        <w:spacing w:line="360" w:lineRule="auto"/>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 支持视频中任意时间点插入测验、图片或PPT：可以在视频任意时间点插入单选、多选和判断，支持设置“答错强制回看”视频；支持对插入的内容在任意时间点上随意拖动。（需提供真实系统对应功能截图或供货期内能开发出符合要求的承诺函）</w:t>
      </w:r>
      <w:r/>
    </w:p>
    <w:p>
      <w:pPr>
        <w:numPr>
          <w:ilvl w:val="0"/>
          <w:numId w:val="17"/>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课程内容支持不登陆试看。</w:t>
      </w:r>
      <w:r/>
    </w:p>
    <w:p>
      <w:pPr>
        <w:numPr>
          <w:ilvl w:val="0"/>
          <w:numId w:val="17"/>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支持视频虚拟剪辑功能，拖动或手动输入起始点、终止点即可在不破坏教师原有视频的基础上将视频剪辑成适当长度，同一视频可以重复多次使用进行不同时间段虚拟剪辑。</w:t>
      </w:r>
      <w:r/>
    </w:p>
    <w:p>
      <w:pPr>
        <w:numPr>
          <w:ilvl w:val="0"/>
          <w:numId w:val="17"/>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题库可设置可见权限，且建设者为自己所负责的的题库设置密码，只有输入密码后才能进入题库。</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网络课程控制与管理</w:t>
      </w:r>
      <w:r/>
    </w:p>
    <w:p>
      <w:pPr>
        <w:numPr>
          <w:ilvl w:val="0"/>
          <w:numId w:val="18"/>
        </w:numPr>
        <w:ind w:left="425" w:hanging="425"/>
        <w:spacing w:line="360" w:lineRule="auto"/>
        <w:shd w:val="clear" w:color="auto"/>
        <w:rPr>
          <w:rFonts w:hint="eastAsia" w:ascii="宋体" w:hAnsi="宋体" w:eastAsia="宋体" w:cs="宋体"/>
          <w:b/>
          <w:bCs/>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整体设计需满足全日制、社区教育、开放教育网络课程建设。</w:t>
      </w:r>
      <w:r/>
    </w:p>
    <w:p>
      <w:pPr>
        <w:numPr>
          <w:ilvl w:val="0"/>
          <w:numId w:val="18"/>
        </w:numPr>
        <w:ind w:left="425" w:hanging="425"/>
        <w:spacing w:line="360" w:lineRule="auto"/>
        <w:shd w:val="clear" w:color="auto"/>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▲支持通过直接发放抢答、投票等课堂互动，数据准确率不低于99%（需提供真实系统对应功能截图或供货期内能开发出符合要求的承诺函）。</w:t>
      </w:r>
      <w:r/>
    </w:p>
    <w:p>
      <w:pPr>
        <w:numPr>
          <w:ilvl w:val="0"/>
          <w:numId w:val="18"/>
        </w:numPr>
        <w:ind w:left="425" w:hanging="425"/>
        <w:spacing w:line="360" w:lineRule="auto"/>
        <w:shd w:val="clear" w:color="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学习过程控制，章节可设置闯关、开放时间、关闭控制；支持教师将课程内视频、作业、文档等设置为学习任务点，任务数量完成相应减少任务点数量显示；记录学生学习进度，登录次数、学习资料观看和下载次数、作业完成情况、学习天数、视频观看的时长</w:t>
      </w:r>
      <w:r/>
    </w:p>
    <w:p>
      <w:pPr>
        <w:numPr>
          <w:ilvl w:val="0"/>
          <w:numId w:val="18"/>
        </w:numPr>
        <w:ind w:left="425" w:hanging="425"/>
        <w:spacing w:line="360" w:lineRule="auto"/>
        <w:shd w:val="clear" w:color="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作业</w:t>
      </w:r>
      <w:r/>
    </w:p>
    <w:p>
      <w:pPr>
        <w:numPr>
          <w:ilvl w:val="0"/>
          <w:numId w:val="19"/>
        </w:numPr>
        <w:ind w:left="1119" w:hanging="459"/>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作业可从题库、作业库或自定义进行选题，自定义的题目需具有保存到题库的功能。作业从题库选题时可跨课程使用教师本人其他课程的题库。</w:t>
      </w:r>
      <w:r/>
    </w:p>
    <w:p>
      <w:pPr>
        <w:numPr>
          <w:ilvl w:val="0"/>
          <w:numId w:val="19"/>
        </w:numPr>
        <w:ind w:left="1119" w:hanging="459"/>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教师可以随时查看学生作业的完成情况并对作业进行线上批阅打分，学生在线提交作业后，主观题支持关键词评分；</w:t>
      </w:r>
      <w:r/>
    </w:p>
    <w:p>
      <w:pPr>
        <w:numPr>
          <w:ilvl w:val="0"/>
          <w:numId w:val="19"/>
        </w:numPr>
        <w:ind w:left="1119" w:hanging="459"/>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对于客观题系统能自动判分，客观题自动批改准确率需达到100%。</w:t>
      </w:r>
      <w:r/>
    </w:p>
    <w:p>
      <w:pPr>
        <w:numPr>
          <w:ilvl w:val="0"/>
          <w:numId w:val="19"/>
        </w:numPr>
        <w:ind w:left="1119" w:hanging="459"/>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作业可设为学生互评的作业，学生与学生相互打分，教师可参与最后的打分。</w:t>
      </w:r>
      <w:r/>
    </w:p>
    <w:p>
      <w:pPr>
        <w:numPr>
          <w:ilvl w:val="0"/>
          <w:numId w:val="19"/>
        </w:numPr>
        <w:ind w:left="1119" w:hanging="459"/>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支持作业从选择的题目中随机抽取若干道题目，对于同一套作业，可以设置题目乱序让每个学生领取的作业可设置有一些差别，实现学生之间防作弊功能。</w:t>
      </w:r>
      <w:r/>
    </w:p>
    <w:p>
      <w:pPr>
        <w:numPr>
          <w:ilvl w:val="0"/>
          <w:numId w:val="19"/>
        </w:numPr>
        <w:ind w:left="1119" w:hanging="459"/>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作业支持插入文档、附件、视频、音频等，音视频支持在线播放。</w:t>
      </w:r>
      <w:r/>
    </w:p>
    <w:p>
      <w:pPr>
        <w:numPr>
          <w:ilvl w:val="0"/>
          <w:numId w:val="19"/>
        </w:numPr>
        <w:ind w:left="1119" w:hanging="459"/>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设置填空题为客观题或主观题，为客观题时，系统可自动批阅；支持及格分数的设定，并可设置是否允许学生重考。</w:t>
      </w:r>
      <w:r/>
    </w:p>
    <w:p>
      <w:pPr>
        <w:numPr>
          <w:ilvl w:val="0"/>
          <w:numId w:val="19"/>
        </w:numPr>
        <w:ind w:left="1119" w:hanging="459"/>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作业答案、分数支持设定是否公开，支持设定主观题学生作答字数范围及是否防止复制粘贴。</w:t>
      </w:r>
      <w:r/>
    </w:p>
    <w:p>
      <w:pPr>
        <w:numPr>
          <w:ilvl w:val="0"/>
          <w:numId w:val="19"/>
        </w:numPr>
        <w:ind w:left="1119" w:hanging="459"/>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作业可以查看某份作业单个选项的详细统计、选择人数。</w:t>
      </w:r>
      <w:r/>
    </w:p>
    <w:p>
      <w:pPr>
        <w:numPr>
          <w:ilvl w:val="0"/>
          <w:numId w:val="19"/>
        </w:numPr>
        <w:ind w:left="1119" w:hanging="459"/>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对于未提交作业的学生，可以进行督促，发放督促通知。</w:t>
      </w:r>
      <w:r/>
    </w:p>
    <w:p>
      <w:pPr>
        <w:numPr>
          <w:ilvl w:val="0"/>
          <w:numId w:val="19"/>
        </w:numPr>
        <w:ind w:left="1119" w:hanging="459"/>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作业需具备指定发送给学生个人的功能，实现有针对性的教学管理。</w:t>
      </w:r>
      <w:r/>
    </w:p>
    <w:p>
      <w:pPr>
        <w:numPr>
          <w:ilvl w:val="0"/>
          <w:numId w:val="18"/>
        </w:numPr>
        <w:ind w:left="425" w:hanging="425"/>
        <w:spacing w:line="360" w:lineRule="auto"/>
        <w:shd w:val="clear" w:color="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测验与在线考试</w:t>
      </w:r>
      <w:r/>
    </w:p>
    <w:p>
      <w:pPr>
        <w:numPr>
          <w:ilvl w:val="0"/>
          <w:numId w:val="20"/>
        </w:numPr>
        <w:ind w:left="84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测验 / 考试管理：支持限时、不限时两种模式，可配置定时自动开考、收卷</w:t>
      </w:r>
      <w:r/>
    </w:p>
    <w:p>
      <w:pPr>
        <w:numPr>
          <w:ilvl w:val="0"/>
          <w:numId w:val="20"/>
        </w:numPr>
        <w:ind w:left="84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准入管控：可配置考生参与考试的前置条件</w:t>
      </w:r>
      <w:r/>
    </w:p>
    <w:p>
      <w:pPr>
        <w:numPr>
          <w:ilvl w:val="0"/>
          <w:numId w:val="20"/>
        </w:numPr>
        <w:ind w:left="84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防作弊配置：试卷考题支持乱序；考前验证码身份核验；可自定义是否展示答案、分数</w:t>
      </w:r>
      <w:r/>
    </w:p>
    <w:p>
      <w:pPr>
        <w:numPr>
          <w:ilvl w:val="0"/>
          <w:numId w:val="20"/>
        </w:numPr>
        <w:ind w:left="84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学情归档：学生错题自动归集至错题本</w:t>
      </w:r>
      <w:r/>
    </w:p>
    <w:p>
      <w:pPr>
        <w:numPr>
          <w:ilvl w:val="0"/>
          <w:numId w:val="20"/>
        </w:numPr>
        <w:ind w:left="84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客户端能力：配套独立考试客户端，支持离线 / 本地作答考试。</w:t>
      </w:r>
      <w:r/>
    </w:p>
    <w:p>
      <w:pPr>
        <w:numPr>
          <w:ilvl w:val="0"/>
          <w:numId w:val="18"/>
        </w:numPr>
        <w:ind w:left="425" w:hanging="425"/>
        <w:spacing w:line="360" w:lineRule="auto"/>
        <w:shd w:val="clear" w:color="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教师可以在课程中发布课程通知。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u w:val="none"/>
          <w:lang w:val="en-US" w:eastAsia="zh-CN" w:bidi="ar-SA"/>
        </w:rPr>
        <w:t xml:space="preserve">移动端能针对学校的组织机构、班级等不同的范围发放通知，并能及时统计到已读和未读人员名单。并且收到的通知可与办事大厅消息打通，无缝对接。</w:t>
      </w:r>
      <w:r/>
    </w:p>
    <w:p>
      <w:pPr>
        <w:numPr>
          <w:ilvl w:val="0"/>
          <w:numId w:val="18"/>
        </w:numPr>
        <w:ind w:left="425" w:hanging="425"/>
        <w:spacing w:line="360" w:lineRule="auto"/>
        <w:shd w:val="clear" w:color="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讨论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学生和教师可以在讨论区中发起讨论，讨论可以跟某一个章节进行关联。教师可针对讨论做加精或置顶的操作，也可对非法讨论进行删除。</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移动端可以建立各种讨论小组，进行权限设置，小组成员可以发帖、回帖、置顶、观看小组的动态等。</w:t>
      </w:r>
      <w:r/>
    </w:p>
    <w:p>
      <w:pPr>
        <w:numPr>
          <w:ilvl w:val="0"/>
          <w:numId w:val="18"/>
        </w:numPr>
        <w:ind w:left="425" w:hanging="425"/>
        <w:spacing w:line="360" w:lineRule="auto"/>
        <w:shd w:val="clear" w:color="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笔记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学生学习时可做章节笔记。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移动端可以写笔记，并可以分享给单位、好友，也可以私有，同时可以查看好友的笔记，关注好友笔记。能实时统计阅读次数、回复笔记等。</w:t>
      </w:r>
      <w:r/>
    </w:p>
    <w:p>
      <w:pPr>
        <w:numPr>
          <w:ilvl w:val="0"/>
          <w:numId w:val="18"/>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统计功能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可对课程中的视频、作业、测验、在线时长等做权重设置，可以针对作业模块做细化到每一份作业的权重设置。可统计所有学生的各项成绩、综合成绩及排名；教师可以设置是否允许学生查看成绩，设置允许后，学生端仅可以查看自己的各项成绩及综合排名；可以导入线下成绩，权重中加入课堂互动的成绩如签到、课堂互动、阅读、直播等课堂成绩，保证学生的成绩更加全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可以统计章节测验已交人数、未交人数及待批人数，并且可以对选择题各项选择统计人数以柱状图、饼图、条形图、折线图的形式呈现。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可以统计每门课程的学生的视频观看详情。</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可以统计视频中测验的答题情况，标记测验的位置、测验的数量、答错的次数。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课程积分统计每个学生参与课堂活动所获得的积分，支持一键导出积分详情。</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课程统计、课程报告</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课程统计可查看课程资源建设情况，资源基础统计数据、各资源类型分布及占比情况、各资源类型变化趋势情况；课程报告提供全部班级课程成绩综合情况统计表、课程成绩综合情况对比图，课程报告支持编辑修改。</w:t>
      </w:r>
      <w:r/>
    </w:p>
    <w:p>
      <w:pPr>
        <w:ind w:left="0" w:firstLine="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学习空间</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学习、互动、考试、评价等都通过空间完成，教师空间包含所教的课，学生/学员空间包含所学的课。学习空间至少包含4个应用</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智慧教学系统门户网站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帮助学校建设个性化门户网站，展示学校精品课程/社区教育课程，发布新闻公告，活跃班级信息、名师风采展示等，个性化导航栏可以自定义配置。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具备信息发布和页面自定义、访问统计分析、统一检索等功能。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具备精品课程/社区教育课程的展示以及后台推荐控制功能。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具备多种资源排行展示，如精品课程排行、课程网站排行、课程资料排行等。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可以对本校课程进行搜索。</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备课资源库</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与智慧教学系统无缝对接，教师在使用智慧教学系统进行课程建设、备课、授课过程中随时可以搜索、引用、无缝插入备课资源库中的资源，全面辅助教师教学和学生学习。需包含以下资源：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1.电子书。可以进行在线阅读，可以进行文字摘录。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学术视频。需要名校、名师的视频，包含清华大学、北京大学、中国人民大学、北京师范大学、复旦大学、同济大学、上海交通大学、天津大学、南开大学等名校的课程视频及讲座，可以在线进行播放。电子书和学术视频要求取得著作权人的授权，没有版权问题。</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终端应用要求</w:t>
      </w:r>
      <w:r/>
    </w:p>
    <w:p>
      <w:pPr>
        <w:numPr>
          <w:ilvl w:val="0"/>
          <w:numId w:val="21"/>
        </w:numPr>
        <w:ind w:left="425" w:hanging="425"/>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教室端要求</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支持手机端投屏功能且不局限于同个WIFI网络才能实现，不需要使用数据线或其他投屏设备，无需再次下载任何软件，直接实现智慧课堂的进行。</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可以通过账号登录，可以选择通过输入自己的绑定的手机号和密码，或者手机验证码来实现登录，亦可使用便捷的扫码登录实现。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教师通过投屏进行签到、选人、抢答等教学环节，并能直接在投屏上展示结果数据。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支持PPT演示投屏功能。PPT文件支持直接投屏。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投屏过程中，教师使用主题讨论，系统根据回答自动分析生产数个词云。</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支持通过手机端投屏功能把课程相关图片、视频资源，然后直接在投屏上展示。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PPT 演示提供激光笔、聚光灯功能。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支持找资料功能，课堂上可随时通过手机端检索添加系统自带的专题、学术视频、期刊等资源，并进行投屏展示。</w:t>
      </w:r>
      <w:r/>
    </w:p>
    <w:p>
      <w:pPr>
        <w:numPr>
          <w:ilvl w:val="0"/>
          <w:numId w:val="21"/>
        </w:numPr>
        <w:ind w:left="425" w:hanging="425"/>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移动端要求</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具有移动客户端，支持iOS、Android、HarmonyOS操作系统，用于手机、Pad等智能移动终端中，实现在线移动学习；移动端须同时具备IOS端、安卓端、鸿蒙端，可以分别从App Store及应用市场进行下载。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PC端与移动端的学习进度保持同步，系统也可对任何终端的学习行为进行监控。</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教师课程通知、个人互相通知的即时消息任意组合设置，实时发送，实时接收，并可查看通知阅读状态，已读和未读名单。教师、学生都可以进行实时的移动端建小组群聊（也可设置屏蔽提醒）等即时通信。</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学生通过移动端参加考试时，支持教师监考功能。教师可查看学生退出考试界面的次数，超出一定次数，教师可选择一键收卷。</w:t>
      </w:r>
      <w:r/>
    </w:p>
    <w:p>
      <w:pPr>
        <w:numPr>
          <w:ilvl w:val="0"/>
          <w:numId w:val="21"/>
        </w:numPr>
        <w:ind w:left="425" w:hanging="425"/>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直播要求</w:t>
      </w:r>
      <w:r/>
    </w:p>
    <w:p>
      <w:pPr>
        <w:ind w:firstLine="482"/>
        <w:spacing w:line="360" w:lineRule="auto"/>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▲支持手机端、电脑端发起视频直播，直播延迟≤1 秒。（提供具有</w:t>
      </w:r>
      <w:r>
        <w:rPr>
          <w:rFonts w:hint="eastAsia" w:ascii="宋体" w:hAnsi="宋体" w:eastAsia="宋体" w:cs="宋体"/>
          <w:b/>
          <w:bCs/>
          <w:color w:val="auto"/>
          <w:sz w:val="24"/>
          <w:szCs w:val="24"/>
          <w:highlight w:val="none"/>
          <w:lang w:val="en-US" w:eastAsia="zh-CN" w:bidi="ar-SA"/>
        </w:rPr>
        <w:t xml:space="preserve">CMA标识的第三方检测报告</w:t>
      </w:r>
      <w:r>
        <w:rPr>
          <w:rFonts w:hint="eastAsia" w:ascii="宋体" w:hAnsi="宋体" w:eastAsia="宋体" w:cs="宋体"/>
          <w:b/>
          <w:bCs/>
          <w:color w:val="auto"/>
          <w:sz w:val="24"/>
          <w:highlight w:val="none"/>
          <w:lang w:val="en-US" w:eastAsia="zh-CN" w:bidi="ar-SA"/>
        </w:rPr>
        <w:t xml:space="preserve">）。</w:t>
      </w:r>
      <w:r/>
    </w:p>
    <w:p>
      <w:pPr>
        <w:numPr>
          <w:ilvl w:val="0"/>
          <w:numId w:val="21"/>
        </w:numPr>
        <w:ind w:left="425" w:hanging="425"/>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资源要求</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移动端有示范课程资源，可选择本科、高职、中职、继续教育等一系列课程资源进行调用。支持教师一键式选择课程进行建课教学，课程内容包括课程章节、视频、图书、PPT、测验、试题、试卷等都可以直接全部引用，同时支持修改。课程资源数量不低于300门。</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AI助教</w:t>
      </w:r>
      <w:r/>
    </w:p>
    <w:p>
      <w:pPr>
        <w:numPr>
          <w:ilvl w:val="0"/>
          <w:numId w:val="22"/>
        </w:numPr>
        <w:ind w:left="425" w:hanging="425"/>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智能答疑</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支持自定义添加、编辑、删除业务问答分类，分类数量无限制；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支持自定义添加、编辑、删除、批量导入、批量导出、批量删除业务问答规则，业务问答规则数量无限制；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支持手工启用、停用业务问答规则，可根据关键词搜索业务内容；</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业务问答规则中，答案支持文本、图片、语音、视频、自定义级联菜单、图文混排、链接等多种内容；</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自定义添加、编辑业务问答中问题标签，并根据标签进行问答提示；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支持用户手动上传文档至问答库，上传后系统可上传的文档进行解析，解析后可智能回答文档相关问题；</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问答时支持智能推荐问题关联的相关微应用；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机器可自动对没有答案的问题描述进行关键词识别并统计聚类，按照关键词问答频率由高到低排序，同时可以批量导出未知问题；</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支持手工添加未知问题至业务问答规则，并支持自定义修改；</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支持自动忽略无意义的问法，比如无效数字字母的组合；</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支持根据用户输入问题进行匹配提示；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支持问答无匹配时，提供语义相似度最高的热门问题；</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支持未知问题回复语自定义设置；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支持欢迎语的自定义设置；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支持阈值自定义；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支持自定义配置访客端的常见问题及通知公告；</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可根据用户行为自动记录待学习问题，超级管理员可一键学习或一键通过；</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支持用户自定义唤醒词；</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支持在不同的时间段自动推送智能学习提示语；</w:t>
      </w:r>
      <w:r/>
    </w:p>
    <w:p>
      <w:pPr>
        <w:numPr>
          <w:ilvl w:val="0"/>
          <w:numId w:val="22"/>
        </w:numPr>
        <w:ind w:left="425" w:hanging="425"/>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资料查找</w:t>
      </w:r>
      <w:r/>
    </w:p>
    <w:p>
      <w:pPr>
        <w:ind w:firstLine="482"/>
        <w:spacing w:line="360" w:lineRule="auto"/>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▲支持针对用户网络课程学习进度和掌握情况，个性化推荐课程资源和拓展性学习资源。（需提供真实系统对应功能截图或供货期内能开发出符合要求的承诺函）</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知识图谱构建和管理</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知识图谱框架</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1.支持搭建以课程结构为核心的知识体系，并通过集中化的管理界面实现信息的融合与维护；</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2.支持基于教学目的和核心知识点构建目标网络，确保对该网络结构进行全面的监管；</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3.支持构建以问题解决和知识点掌握为核心的问题解决框架，并对其进行详尽的架构管理；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4.支持基于课程思政的标签化知识点，自动生成具有象征意义的课程思政图谱；</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5.系统默认采用知识点路径、图谱模式以及知识列表展示分类和知识点，支持用户根据不同的业务需求灵活选择展示模式；</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6.支持搭建自定义图谱满足不同场景教学需求；</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7.支持对教学课程的基本属性、特性和负责人信息进行常规的数据库管理操作，包括增加、删除、修改和查询；</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8.允许为在线课程和传统教学课程分别建立各自的知识图谱，以便于集中化管理；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9.支持为在线和传统教学课程分别创建独立的教学目标图谱，以便于集中化管理；</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课程知识图谱构建</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1.引入分类/知识点概念，允许用户界定课程的分类和基本知识点，其中分类可以进一步划分为更细致的子分类和子知识点，这些知识点构成了知识体系的基础构件；</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2.允许用户能够在广泛的类别和概念间搭建起多层次的联系，形成一个互联的知识网络，系统自动在这些层级之间编织联系；</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3.支持用户搭建节点间自定义关系，从而创建一个灵活、动态的教育活动网络，满足日常教学活动的需求，增强教学互动性，促进知识的深入理解和应用；</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4.采用前沿的可视化手段，动态地构建知识图谱，将概念间的层级关系以直观的方式展现出来，使知识结构一目了然；</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5.支持多样化的知识图谱构建工具，包括手工输入和大规模数据导入，允许用户深入编辑概念属性，以及调整它们在知识体系中的位置；</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6.支持多种数据导入方式，从智能解析到模板化输入，再到特定格式的转换和跨课程数据同步，以及章节内容的直接集成；</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7.上传教学资料，系统智能分析并构建知识图谱，简化用户操作；</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8.支持将思维导图文件转化为知识图谱，同时保留导出原有格式的能力，增强了文件的互操作性；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9.实现教学课程与网络课程间的知识图谱同步，便于资源共享和教学内容的一致性；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10.支持课程章节一键转化生成知识图谱，并同时进行资源关联；</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11.允许用户将课程章节迅速转化为知识图谱，并实现与教学资源的关联；</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12.支持富文本编辑器，支持用户添加详尽的说明和多媒体材料，同时能够调整概念的命名和描述，以增强信息的丰富性；</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13.支持根据课程内容的更新或需求变化，灵活修改分类名称，以及为分类添加具有指导性的描述；</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14.支持用户将单个或多个知识点在知识结构中上下移动，以优化教学结构；</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15.支持批量操作功能，提高知识点或分类在层级管理中的效率；</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16.支持教师根据班级学习进度，灵活设置知识点可见性，实现个性化内容投放。通过智能化配置，可动态调整知识展示策略，适配不同班级的学习需求，进行差异化教学；</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17.支持门户系统，通过模板展示课程信息、知识图谱、关系网络等，实现教学资源的可视化和统计分析，增强教学平台的功能性；</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知识图谱统计与分析</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1.支持探索每个知识点在班级中的平均表现，并在不同班级间轻松切换，以获得全面的视角；</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2.用户现在可以将学情统计的快照保存为图像，便于回顾和分享；</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3.支持在学情统计中检索节点，帮助用户快速定位特定节点的完成率/掌握率；</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4.图谱统计功能从多维角度实现对课程的宏观理解、对知识点的深入分析，以及支持用户自定义的探索路径；</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5.课程总览支持多维度的课程视角，包括知识点、资源、任务点、资料和评估活动的统计；</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6.课程总览支持创意的词云形式，展示了学习中的热门知识点，直观地反映了学习的重点和热点；</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7.知识点学习情况分析通过图形化的方式，支持班级学习的整体视图，包括完成率和掌握率；</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8.按知识点统计支持展示每个知识点关联学习资源、班级平均掌握率、班级平均完成率、关联资料数、课程资料人均阅读数，同时支持查看该知识点详情页面</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9.通过知识图谱的形式，用颜色区分来展示知识点的完成度和掌握度，让数据的呈现更加生动和直观；</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10.支持按人统计学生详情，支持列表和知识图谱两种形式，展示每个知识点的完成情况，包括完成率和掌握率；</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11.教师可根据知识点的属性或分类层级，灵活选择评价维度，生成学生或班级画像。帮助教师从多角度分析学生学习情况，制定个性化教学方案；</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12.以多种图表直观呈现学生学习情况，并与班级整体学习情况进行对比。帮助教师快速了解学生的学习特点，便于针对性指导</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课程虚拟展厅</w:t>
      </w:r>
      <w:r/>
    </w:p>
    <w:p>
      <w:pPr>
        <w:numPr>
          <w:ilvl w:val="0"/>
          <w:numId w:val="23"/>
        </w:numPr>
        <w:ind w:left="425" w:hanging="425"/>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支持构建虚拟展厅，展示院校特色及资源并挂载至门户首页。展厅内置虚拟角色和角色动画，也可对接智能体，实现自由移动参观展厅、语音交流问答、智能语音讲解导览。</w:t>
      </w:r>
      <w:r/>
    </w:p>
    <w:p>
      <w:pPr>
        <w:numPr>
          <w:ilvl w:val="0"/>
          <w:numId w:val="23"/>
        </w:numPr>
        <w:ind w:left="425" w:hanging="425"/>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支持使用展厅编辑器建设虚拟展厅，编辑器应内置多种公共素材以及不少于20种的内置展厅样式，帮助院校快速建设虚拟展厅。</w:t>
      </w:r>
      <w:r/>
    </w:p>
    <w:p>
      <w:pPr>
        <w:numPr>
          <w:ilvl w:val="0"/>
          <w:numId w:val="23"/>
        </w:numPr>
        <w:ind w:left="425" w:hanging="425"/>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展厅支持上传多种多媒体素材类型，包括但不限于JPG、PNG、JPEG等格式图像，MP4、AVI、MOV等格式视频，MP3、WAV等格式音频，obj、FBX、glb等格式模型。</w:t>
      </w:r>
      <w:r/>
    </w:p>
    <w:p>
      <w:pPr>
        <w:numPr>
          <w:ilvl w:val="0"/>
          <w:numId w:val="23"/>
        </w:numPr>
        <w:ind w:left="425" w:hanging="425"/>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院校可根据内容需求快速选择并应用，且展板大小、位置、角度样式都可以根据用户的需求灵活调整，如可在展厅编辑器中直接创建和编辑2D、3D文本，并且可自定义调整文字字体、大小、颜色等属性。</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任务引擎</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具备新建/删除任务，新建任务时可自定义任务名称、任务封面、任务介绍、任务标签。新建后默认跳转到当前任务的管理页面，进行任务设计操作。已删除具备恢复已删除的任务</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任务生成后，在任务列表上新增一条任务数据。</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具备任务的管理功能，包括修改任务信息、学生管理和查看任务统计。</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具备完成任务设计的能力，能进行务点添加和管理、任务点完成条件和任务达标标准的设置。</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具备删除创建好的分组，删除后分组下的任务点同步删除，第一个分组不具备删除功能</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具备在任务下添加具体的资源类型，其中包含视频、文档、笔记、课程内容（课程、章节、知识点）、作业、测验、自测、直播、课堂、问卷、审批、自定义。</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具备对作业、测验类型的任务点进行学生成绩批阅的功能</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具备对自定义类型的任务点进行发放签到和成绩录入的功能</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具备设置每个任务点的完成条件的能力，不同类型的任务资源，其完成条件不完全相同</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具备任务信息页面的设置功能，须具备对任务进行共建、报名设置、证书设置、其他设置等操作。</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具备切换开关实现是否开启任务报名、任务报名是否填写信息、任务报名是否审批等操作。</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具备切换开关实现任务达标是否发放证书操作，须具备编辑证书模板，查看发放证书。</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具备查看学生端的预览效果。</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具备任务发布，教师可以选择当前课程下的班级进行发布，已发布的班级下的学生个人空间可以看见该条任务，未发布的班级学生个人空间任务不可见。</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任务统计页面，须具备查看任务的学生和任务点概况，当前任务的所有学生的学习情况。</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具备根据达标状态、学生姓名/账号的方式筛选符合条件的学生列表。</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学生列表侧的详情，须具备查看选中学生所有任务点的完成情况。</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具备导出单个学生的任务点内容，须具备全量导出、筛选导出、勾选导出三种方式</w:t>
      </w:r>
      <w:r/>
    </w:p>
    <w:p>
      <w:pPr>
        <w:numPr>
          <w:ilvl w:val="0"/>
          <w:numId w:val="24"/>
        </w:numPr>
        <w:ind w:left="0"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具备设置督学条件并对满足条件的学生发起督学的能力，须具备对单个学生督学和对多个学生批量督学的能力。 </w:t>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教务管理系统                                                                       </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系统设计整体要求</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w:t>
      </w: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运行环境教务软件支持Linux以及Windows操作系统。系统采用B/S架构，支持版本自动更新功能。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w:t>
      </w: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移动教学教务系统部分功能，例如课表查询，调课、代课申请，学生成绩查询等，支持在手机或平板等移动端设备使用。</w:t>
      </w:r>
      <w:r/>
    </w:p>
    <w:p>
      <w:pPr>
        <w:ind w:firstLine="482"/>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3</w:t>
      </w:r>
      <w:r>
        <w:rPr>
          <w:rFonts w:hint="eastAsia" w:ascii="宋体" w:hAnsi="宋体" w:eastAsia="宋体" w:cs="宋体"/>
          <w:b/>
          <w:bCs/>
          <w:color w:val="auto"/>
          <w:sz w:val="24"/>
          <w:highlight w:val="none"/>
          <w:lang w:val="en-US" w:eastAsia="zh-CN" w:bidi="ar-SA"/>
        </w:rPr>
        <w:tab/>
      </w:r>
      <w:r>
        <w:rPr>
          <w:rFonts w:hint="eastAsia" w:ascii="宋体" w:hAnsi="宋体" w:eastAsia="宋体" w:cs="宋体"/>
          <w:b/>
          <w:bCs/>
          <w:color w:val="auto"/>
          <w:sz w:val="24"/>
          <w:highlight w:val="none"/>
          <w:lang w:val="en-US" w:eastAsia="zh-CN" w:bidi="ar-SA"/>
        </w:rPr>
        <w:t xml:space="preserve">▲符合学校场景应用，系统平均响应时间≤1000 ms。（提供具有</w:t>
      </w:r>
      <w:r>
        <w:rPr>
          <w:rFonts w:hint="eastAsia" w:ascii="宋体" w:hAnsi="宋体" w:eastAsia="宋体" w:cs="宋体"/>
          <w:b/>
          <w:bCs/>
          <w:color w:val="auto"/>
          <w:sz w:val="24"/>
          <w:szCs w:val="24"/>
          <w:highlight w:val="none"/>
          <w:lang w:val="en-US" w:eastAsia="zh-CN" w:bidi="ar-SA"/>
        </w:rPr>
        <w:t xml:space="preserve">CMA标识的第三方检测报告</w:t>
      </w:r>
      <w:r>
        <w:rPr>
          <w:rFonts w:hint="eastAsia" w:ascii="宋体" w:hAnsi="宋体" w:eastAsia="宋体" w:cs="宋体"/>
          <w:b/>
          <w:bCs/>
          <w:color w:val="auto"/>
          <w:sz w:val="24"/>
          <w:highlight w:val="none"/>
          <w:lang w:val="en-US" w:eastAsia="zh-CN" w:bidi="ar-SA"/>
        </w:rPr>
        <w:t xml:space="preserve">）</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w:t>
      </w: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通用数据接口教务系统开放部分接口，提供第三方应用系统轻量级查询与数据更新操作功能。可对接学校的网络教学平台，确保线上平台的成绩数据、学生数据、课程数据与教务系统无缝对接。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w:t>
      </w: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支持将教务系统中针对教师和学生开发的查询、统计等程序接入门户平台。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w:t>
      </w: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安全性具有严格的安全机制，包括真正的三层结构（数据层、应用层、WEB层）、严格的身份授权机制（绑定MAC地址、按角色、数据表、字段等授权）等。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w:t>
      </w: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兼容性保证对多种浏览器（如： firefox，chrome等）的兼容。</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w:t>
      </w: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数据备份提供可靠的服务器架构方案，可实现服务器系统和数据库的优化、安全冗余、备份，可实现双机热备。</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 教务管理模块</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基础信息管理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基础数据管理：支持根据业务的需要，进行系统字典、用户/学校基础数据等内容字段的增删改操作，包含常用中间件，包括单行输入、多行输入、数字输入、下拉框、多级下拉等基础字段，同时包括矩阵单选、子表单、计算公式等高级字段，只需进行“拖、拉、拽”等操作，无需进行二次代码开发。并可将采集的基础数据形成如雷达图、指标图、柱形图等展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权限管理：可为不同角色分配每个业务模块、菜单及操作按钮的访问和使用等权限。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1.系统字典管理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包含公共字典和业务字典两部分，提供多个系统所需字段的字典值，支持用户对字典进行自定义配置；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2.学校基础数据管理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1）支持对学校数据、年级数据、校区数据、学年学期、部门数据、教研室数据、系部数据、班级信息、教学楼、教室信息、社区教育站点等基础业务数据进行维护和管理；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2）支持数据的逐条添加、批量导入、批量导出、批量删除、对某些字段的批量编辑等多种功能；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3）支持用户对菜单名称、字段名称进行自定义修改和维护，以满足学校个性化的要求；</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3.师资管理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1）支持对老师的基本信息（姓名、性别、工号、联系电话等个人信息）和任职信息（教师所属的系部、部门、社区教育站点等）进行维护和管理。支持逐条添加和批量导入的方式；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2）支持添加或导入教师基本信息后，给老师生成对应的用户账号，如果维护了手机号，支持给生成的用户账号绑定手机号；</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3）支持对教师的角色（例如班主任、教学秘书、社区教育站点等）进行维护，维护后可直接将对应教师添加到对应角色下，直接开通对应角色的权限；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4）支持教师对自己的个人信息进行查询和维护；</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5）支持查询某一周，一个或多个老师，在该周的空闲时间；</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4.学籍管理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1）支持对学生的基本信息（姓名、学号、性别、联系电话等个人信息）和学籍信息（学生所属的年级、班级、专业等）进行维护和管理。支持逐条添加和批量导入的方式；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2）支持添加或导入学生基本信息后，给对应学生生成对应的用户账号，如果维护了手机号，支持给生成的用户账号绑定手机号；</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3）支持学生对自己的个人信息进行查询和维护；</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4）支持学生学籍异动的申请和审批，支持自定义配置审批流程，支持批量导入来实现批量异动，异动后学生基本信息的相关字段内容自动变更；</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5）支持班主任、社区教育站点教师仅查看自己班级学生信息；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5.留级名单管理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1）支持配置留级名单生成规则；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2）支持按照预设规则一键生成留级名单；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3）支持留级名单的查询和导出；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6.学籍预警</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1）支持对不同学生维度设置学籍预警和预警规则；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2）支持生成不同级别的学生学籍预警名单；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3）支持给学生、班主任发送学籍预警通知；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7.校历管理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1）支持根据学年学期中预设的参数一键生成校历；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2）支持在校历上标记特殊日程（例如校庆日，运动会等），支持在校历上一键停课；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3）支持在校历上针对不同学生范围按照周次设置实训周和非实训周；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4）支持按照院系维度查询教学校历，并支持导出excel格式的教学校历；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8.课表结构管理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支持根据冬夏令时设置课表结构，可根据切换时间自动切换课表结构。</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培养过程管理</w:t>
      </w:r>
      <w:r>
        <w:rPr>
          <w:rFonts w:hint="eastAsia" w:ascii="宋体" w:hAnsi="宋体" w:eastAsia="宋体" w:cs="宋体"/>
          <w:b/>
          <w:color w:val="auto"/>
          <w:sz w:val="24"/>
          <w:szCs w:val="22"/>
          <w:highlight w:val="none"/>
          <w:lang w:val="en-US" w:eastAsia="zh-CN" w:bidi="ar-SA"/>
        </w:rPr>
        <w:tab/>
      </w:r>
      <w:r/>
    </w:p>
    <w:p>
      <w:pPr>
        <w:ind w:firstLine="482"/>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▲培养过程管理：支持教务开课后将课程信息和教学班学生信息推送至教学平台，在教学平台批量开设网络课程和对应班级。（需提供真实系统对应功能截图或供货期内能开发出符合要求的承诺函）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1.课程库管理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1）支持对全校的课程信息（课程名称、编号、学分、学时等）进行维护，支持逐条添加和批量导入；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2）支持按照开课系部进行数据权限控制；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2.培养方案管理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1）支持按照不同年级、专业建立培养方案，支持逐条添加和批量导入；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2）支持给每个培养方案下添加课程，支持逐条添加、批量导入、通过教学进程表添加；支持同一门课程在多个学期开设；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3）支持培养方案的复制，并同步复制教学进程表；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4）支持按照培养方案设置的课程进行毕业学分要求的计算；</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5）支持培养方案查询的权限控制和培养方案制定的审核流程自定义；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6）支持培养方案管理的撤回和打回</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7）支持培养方案的导出和打印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8）支持培养方案修订完成之后的修改，支持自定义设置人培方案修改的审核流程</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9）支持学生在PC端查询人培方案中课程的进度情况</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3.教学计划管理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1）支持按照培养方案，一键生成某一个或多个学期的教学计划；</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2）支持对教学计划进行调整，支持逐条添加和批量导入、批量编辑等方式；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3）支持按照单班、合班、拆班等多种方式生成教学班，支持批量生成教学班；</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4）支持教学计划查询的权限控制和教学计划制定的审核流程自定义；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7）支持教学计划开班之后，进行撤销开班</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8）支持教学计划制定完成之后的修改，支持自定义设置教学计划修改的审核流程</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4.开课管理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1）给在教学计划中生成的教学班进行授课教师、周次、周学时、教室的等开课信息的设置；支持逐条设置和批量设置；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2）支持不通过教学计划生成，直接通过班课速配的方式快速设置教学班（即批量给班级添加课程，给课程添加班级）；</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3）支持开课管理查询的权限控制和开课管理审核流程自定义；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4）支持开课设置之后，撤销开课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5）支持在开课管理里面查看授课教师以及班级目前开课学时情况</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5.开课信息表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1）支持直接在开课信息表中添加开课信息，可以不通过开课生成；支持逐条添加和批量导入的方式；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2）支持查看和导出教学班学生名单；支持对教学班学生进行调整；</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3）支持批量编辑和修改开课信息；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6.编组管理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支持给同类型教学班信息进行编组供排课、选课、成绩录入等模块使用；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7.开课统计</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1）支持按教师维度和行政班维度统计学期开课信息明细和学期开课信息汇总；</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2）支持主讲教师和助教分别统计；</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3）支持统计结果数据的查看和导出；</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4）支持社区教育站点单独开课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8.板块管理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1）支持自定义添加板块类型，板块下课程</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2）支持维护板块对象、上课时间以及上课教师、教室等信息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3）支持将板块下的课程进行选课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9.教学任务落实</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1）支持按照学年学期查询需要落实的课程情况</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2）支持对未落实的课程进行开课设置的落实</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排课管理</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排课管理：支持PC端自定义名称维度查看全校课表、班级课表、教室课表、老师课表、学生课表，并支持自定义导出字段进行课表内容导出，支持老师、教室维度的无课查询。支持移动端APP查看全校课表、班级课表、教室课表、老师课表、学生课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1.课表结构</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1）支持设置每周上课天数，晨读、上午、下午、晚自习等每天每个时段的节数，上课时间，每节时长，课间时间等参数，一键生成课表结构；</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2）支持添加课间操，午休等自定义时段；生成课表结构后支持对节次时间进行自定义编辑；</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3）支持为不同校区设置不同课表结构</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2.课表导入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支持校方已排好的课表按照系统模板格式整理后导入系统；</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3.排课规则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1）支持对一个或多个班级/老师/教室/课程，在某个节次时段进行禁排；</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2）支持对单个或多个课程/老师在某个节次时段进行预排，支持优先排入和必须排入两种规则；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3）支持课程互斥规则，两门及以上课程不排在同一时段；</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4）支持教师互斥规则，两个及以上的教师不排在某一节；</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5）支持校区互斥规则，两个及以上的校区不排在同一时段；</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6）支持对连堂规则进行设置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7）支持对排课均衡性规则进行配置，如老师最大日课时数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8）每种规则都支持自定义规则描述，自定义标签是否显示；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4.自动排课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1）支持按照预设规则一键自动排课，自动排课会进行规则校验、冲突校验；</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2）自动排课前支持先手动预排部分课程，并作预排标签标记；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5.手动排课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1）自动排课的结果支持手动调整；</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2）支持直接进行手动排课；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3）支持按周次排课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4）支持进行冲突强排，并做强排标签；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5）支持按班级、按老师、按教室三种不同维度的手动排课；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6）手动排课也会进行冲突和规则校验，通过颜色标识和弹窗提示；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7）每种排课维度可以查看另外两种维度的辅助课表来查看具体冲突明细；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8）支持每次调整后系统自动进行调整日志记录；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9）支持一键清除课表；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10）支持通过护眼模式调整页面颜色样式；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11）支持课程名称、班级名称、周次、教室等字段内容是否显示的控制；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12）支持老师课表、班级课表、学生课表、教室课表等维度的预览；</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6.课表保存与恢复</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支持用户自主保存课表，并在发布课表等重要节点自动保存课表，支持恢复已保存的课表.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7.课表查询与导出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1）支持全校课表、班级课表、老师课表、教室课表、学生课表、课程课表、班主任课表等维度的课表查询和导出；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2）支持不同样式的全校课表导出；支持导出字段的控制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3）支持移动端个人课表，老师课表，班级课表，学生课表，课程课表，班主任课表的查看；支持移动端课表课堂记录填写；课堂记录字段支持自定义配置；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8.调代课/停复课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支持移动端调课、代课、停复补课等各类申请审批自定义，并发送通知到审批人和申请人，调代课通过后自动更新课表和结果数据，结果数据可用于教师工作量统计。</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1）支持管理端进行调课、代课、跨周调课、停课、复课、补课；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2）支持移动端教师自行发起调课、代课、跨周调课、停课、复课、补课申请；</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3）支持调代课审批，且支持流程的自定义配置；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4）支持调代课记录的查询和导出；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5）支持管理端调代课通知设置，添加抄送。</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选课管理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1）支持从开课管理生成选修课、从开课信息表导入选修课，和老师自主申报选修课；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2）支持按学期、分批次进行选课，支持不同校区、年级、院系、专业的学生在同一学期开展多批次选课；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3）支持对专业选修课、公共选修课、分项课程建立选课计划进行选课，支持重修选课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4）支持对选课计划设置可选课程范围，满足多种课程性质同时选课。支持通过excel表导入可选课程；</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5）支持对选课计划设置学分门数要求，支持不同年级、院系、专业、班级的学生设置不同的学分门数要求。支持单独设置学分、门数要求，支持同时对学分、门数设置要求；</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6）支持选择是否允许学生重复选课，支持限制学生某个时间段内不可重复选课；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7）支持对选修课进行性别限制；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8）支持对选修课设置同组选课数量限制、前置先修课程以及先修课程成绩限制；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9）支持单独为每门选修课设置面向或限制的学生，满足不同课程面向不同年级、院系、专业、班级学生的场景；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10）支持每门选修课按班级分配选课名额，指定每个班可选此课的学生数量；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11）支持将历史选课计划中已修读的某门课的学生同步到本计划某门课中，无需学生再次选课；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12）支持学生在PC端和移动端选课，支持课表模式选课和普通列表模式选课；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13）支持管理人员对学生选课结果进行管理，帮学生选课、退课；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14）支持按照学生、课程多维度查看选课结果；</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15）支持按教学班或行政班维度导出选课名单；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16）支持在选课计划开始前和结束前给管理人员和学生发送通知提醒，支持给没有完成选课计划的学生发送通知提醒；</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17）支持管理人员查看学生退课申请，并进行退课审核；</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18）支持取消未达到开课标准的课，给学生发送课程被取消通知；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19）支持在正式选课计划结束后开启补选，方便没有完成选课计划的学生再次选课；</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20）</w:t>
      </w:r>
      <w:r>
        <w:rPr>
          <w:rFonts w:hint="eastAsia" w:ascii="宋体" w:hAnsi="宋体" w:eastAsia="宋体" w:cs="宋体"/>
          <w:b w:val="0"/>
          <w:bCs w:val="0"/>
          <w:color w:val="auto"/>
          <w:sz w:val="24"/>
          <w:highlight w:val="none"/>
          <w:lang w:val="en-US" w:eastAsia="zh-CN" w:bidi="ar-SA"/>
        </w:rPr>
        <w:t xml:space="preserve">支持社区教育人员与校内学生同等功能独立选课，选课所在地区/站点、可选课程、课程开设时间、开设地点等相关信息。</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考务管理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1.考务基础数据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1）支持创建考试批次，自定义考试批次名称、类型、开始时间、结束时间；</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2）支持单条/导入创建考试场次，自定义考试场次名称、开始时间、结束时间，同时支持继承历史考试批次中的场次记录；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3）支持从教师基本信息同步监考教师信息；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4）支持从教室信息同步考场信息，支持考场容量自定义设置；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2.考试任务</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1）支持从开课信息转入考试任务；</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2）支持添加和导入考试任务及考试学生名单；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3.排考规则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1）支持设置多维度按教学班、行政班学生排考方式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2）支持自动按照设置的考场容量范围批量拆分考试数据；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3）支持同个考场自定义监考教师数量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4）支持教师、教室跨校区排考规则；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5）支持设置监考教师监考范围</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6）支持设置一个或多个教师/考场在某个场次的禁排；</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7）支持排考任务发布后，自动发送排考信息给各个角色；</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4.安排考试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1）支持自动排考；</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2）支持手动图形化排考；</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3）支持调整考试学生名单；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5.排考结果</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支持对排考结果进行查询及全校考表的导出；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6.监考工作量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支持对教师监考场次、时长进行自动统计，查询及导出；</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成绩管理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成绩管理：成绩管理模块通过线上方式去管理每个环节的成绩，系统支持录入前的规则配置、录入中的相关操作(正考、补考、重修、毕业考试)、录入后的结果处理 (成绩优化、成绩查询、成绩统计、成绩分析.....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1.成绩参数设置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满足管理员对成绩基本规则的配置，可以控制教师录入成绩的开始时间、结束时间及各种成绩录入的参数（分项、级制、计算规则、学分规则、绩点规则、其他规则设置等）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1）支持设置一次性录入或按照分项分批次录入，支持设置录入开始时间、结束时间；</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2）支持设置成绩分项、自定义分项名称；支持给分项设置二级分项；</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3）支持按照分数制、等级制来自定义设置级制；支持设置分数等级的换算关系、支持根据培养层次设置正考合格标准；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4）支持设置多种成绩计算规则模板；支持使用公式编辑让二级分项也参与计算规则；支持任课教师自行创建成绩计算规则；支持设置综合成绩保留小数位数、是否需要四舍五入；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5）支持设置绩点规则、设置绩点与分数之间的对应关系；支持计算平均学分绩点；</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6）支持根据正考、补考、重修、毕业考试等不同的成绩类型设置不同的学分规则；支持按照分数、等级、计算公式设置课程学分规则；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7）支持自定义特殊成绩标识（例如缓考、作弊、休学等）；支持自定义成绩质量分析标题；支持自定义成绩质量分析标题；支持配置成绩查询显示内容；</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8）支持成绩一体化对接，教学平台的学习成绩、考试系统的成绩都可以自动与教务成绩进行对接，免手工录入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2.正考成绩管理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1）支持从开课数据自动同步待录入成绩数据；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2）支持批量配置成绩计算规则（选择模板规则或自行创建)；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3）支持给教师发送通知催促成绩录入；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4）支持查看录入情况，录入百分比；</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5）支持解除已提交成绩的锁定状态以进行修改或重新录入；支持填写解锁理由；支持锁定成绩；</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6）支持发布、取消发布成绩，供学生查询；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7）支持教学班成绩的批量导出；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8）支持成绩分析报告的导出；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9）支持查看分析内容录入情况，录入百分比；</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10）支持教师端录入正考成绩，做相应权限控制；支持逐条录入和按班级导入；支持对成绩结果一键优化，按等级、按分数、按排名优化正考成绩结果；</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11）支持查看教学班各分项成绩统计结果，包括应考人数、实考人数、缺考人数、缓考人数、免考人数、总分、平均分、标准差、及格率、优秀率，分数区间人数等指标统计；</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12）支持控制管理端和教师端顶部筛选、顶部按键、列表字段、右侧按键的显隐规则、锁定状态</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3.补考成绩管理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1）支持设置补考名单生成规则；支持按照规则一键生成补考名单；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2）支持自定义补考计算规则（各分项的录入计算比例），可以继承正考的分项成绩作为补考成绩的分项成绩；</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3）支持设置补考成绩录入规则、最终成绩展示与补考成绩的关系；支持按照教学班设置合格标准；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4）支持不同角色（管理员、班主任、老师）按照行政班、教学班、学生三个维度来进行补考成绩的录入、查询、导出；支持老师改变合格分数线，提高学生及格率；</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4.重修成绩管理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1）支持设置重修名单生成规则；支持按照规则一键生成重修名单；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2）支持设置重修成绩录入规则、最终成绩展示与重修成绩的关系；支持按照教学班设置合格标准；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3）支持不同角色（管理员、班主任、老师）按照教学班维度、学生维度来进行重修成绩的录入、查询、导出；支持老师改变合格分数线，提高学生及格率；</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5.毕业考试成绩管理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1）支持设置毕业考试名单生成规则；支持按照规则一键生成毕业考试名单；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2）支持设置毕业考试成绩录入规则、最终成绩展示与毕业考试成绩的关系；支持按照教学班设置合格标准；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3）支持不同角色（管理员、班主任、老师）按教学班维度、学生维度来进行毕业考试成绩的录入、查询、导出；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6.成绩分析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以升学或就业为目标，对学生成绩进行个性化的/针对性的分析:行政班统计分析、教学班对比分析、行政班对比分析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1）支持按照行政班维度来进行成绩统计分析；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2）支持统计班级学生排名、班级总分、平均分、各科目优秀率、及格率等；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按照教学班、行政班维度来进行对比分析；教学班对比分析可以提供给教师对同一教学班不同学期、不同教学班同一学期的成绩结果进行对比分析；行政班对比分析可灵活选择行政班和对比批次，进行同一行政班多个批次、多个行政班同一批次、多个行政班多个批次的均分、均差对比分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4）支持折线图、柱状图等分析样式；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7.成绩查询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1）支持按照学期进行班级成绩查询；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2）支持按照学年进行班级成绩查询；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3）支持按照学生维度进行毕业成绩单查询；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8.移动端成绩查询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支持教师、学生在手机、平板等移动端设备进行成绩查询；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9.日志</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支持记录和查询数据日志和操作日志，支持成绩恢复；</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学分管理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学分管理：在学分制选课模式中，学校所有课程可参与选课，可根据学校针对必修/选修课程不同的学分要求进行设置选课计划，学生按照要求进行分别选择对应学分的必修/选修课程。</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1.学分规则设置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1）系统支持设置课程学分、竞赛学分、证书学分、实习学分、德育学分5种学分类型；</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2）对不在以上范围内的学分类型，系统支持自定义新建学分类型；</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3）支持设置各种学分类型的换算规则；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4）支持分数、等级等多种类型成绩的学分换算规则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2.学分登记与查询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1）支持课程、竞赛、证书、实习、德育等多种类型的学分的登记；支持逐条添加和批量导入；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2）支持学生自行申请登记；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3）支持对各种类型的学分认定结果进行查询和导出；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3.学分互认</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1）支持设置可进行学分互认的学生年级范围、课程范围；互认申请时间；学生是否可自行发起申请；</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2）支持管理端使用学生竞赛、证书等学分来认定未获取的课程学分；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3）支持自定义设置审核流程；</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4）支持对认定结果进行查询和导出；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4.学生学分查询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1）支持按照学生维度对具体某个学生在校期间获取学分的情况进行查询；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2）支持按照学期维度对某个学生获取学分的情况进行查询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3）支持下载学分学分档案卡</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毕业管理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毕业学分条件设置、毕业资格审查、毕业数据处理、毕业统计分析。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1）支持按照专业维度自定义设置毕业课程条件、毕业学分条件、毕业证书条件，支持添加技能等级考试证书加入学生毕业条件审核。</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2）可以针对各个课程性质单独进行毕业学分要求配置。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可批量设置毕业审核条件，也可为单个专业设置毕业审核条件，符合学分制要求。毕业条件包括：</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修读总学分达到要求；</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不及格课程门数（必修）&lt; n门；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不及格课程门数（选修）&lt; n门；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毕业时无未撤销处分；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必修课平均学分绩点≥ n分；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拥有成绩课程门数 ≥ n门；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选修课程各课程性质学分达到要求；</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平均学分绩点 &gt; n；</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毕业课程达到要求分数；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英语六级成绩≥ n分；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计算机二级成绩≥ n分。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   以上n值管理员可以根据需求自行配置。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3）支持一键审核毕业学生的毕业情况和学位情况，或单独处理某个毕业生的毕业情况，同时显示审核通过或不通过原因</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5）支持输出毕业生名单，方便学校进行数据上报。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6）支持毕业学生的统计查询，包括学院毕业人数汇总；历年毕业人数汇总；班级人数对比；明细表格。</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系统对接</w:t>
      </w:r>
      <w:r/>
    </w:p>
    <w:p>
      <w:pPr>
        <w:ind w:firstLine="482"/>
        <w:spacing w:line="360" w:lineRule="auto"/>
        <w:rPr>
          <w:rFonts w:hint="eastAsia" w:ascii="宋体" w:hAnsi="宋体" w:eastAsia="宋体" w:cs="宋体"/>
          <w:b/>
          <w:bCs/>
          <w:i/>
          <w:iCs/>
          <w:color w:val="auto"/>
          <w:sz w:val="24"/>
          <w:szCs w:val="24"/>
          <w:highlight w:val="none"/>
          <w:u w:val="single"/>
          <w:lang w:val="en-US" w:eastAsia="zh-CN" w:bidi="ar-SA"/>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2"/>
          <w:highlight w:val="none"/>
          <w:u w:val="single"/>
          <w:lang w:val="en-US" w:eastAsia="zh-CN" w:bidi="ar-SA"/>
        </w:rPr>
        <w:t xml:space="preserve">教务管理系统平台须集成原有校园监评系统，保持统一登陆入口、统一后台管理、用户数据统一、课程数据统一。监评系统教师听课、学生评教、教师工作量填报等需应用需集成至个人空间（投标人提供承诺函并加盖投标人公章，承诺函格式自拟）</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学籍异动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需满足主要包含异动类型设置、异动流程设置、学籍异动申请、学籍异动审核，学籍异动查询，查询统计功能。</w:t>
      </w:r>
      <w:r/>
    </w:p>
    <w:p>
      <w:pPr>
        <w:pStyle w:val="760"/>
        <w:rPr>
          <w:rFonts w:hint="eastAsia"/>
          <w:color w:val="auto"/>
          <w:highlight w:val="none"/>
          <w:lang w:val="en-US" w:eastAsia="zh-CN"/>
        </w:rPr>
      </w:pPr>
      <w:r>
        <w:rPr>
          <w:rFonts w:hint="eastAsia"/>
          <w:color w:val="auto"/>
          <w:highlight w:val="none"/>
          <w:lang w:val="en-US" w:eastAsia="zh-CN"/>
        </w:rPr>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学生工作管理系统</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学生基本信息管理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1、学生基本信息：对于学生基本信息学号、性别、姓名、出生地、身份证、政治 面貌进行编辑，支持批量管理，进行批量 账户设置以及进行批量毕业设置，需要支持导入 excel；需支持学生基本信息多维度拓展、补充，设置学生基本信息完善的 多种方式：个人填写、批量导入、审批等；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2、异动信息查询：需满足可查询、编辑 学生异动信息；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3、按教学部统计：需满足按照教学部进 行统计查看图表信息；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4、按年级统计：需满足按照年级进行统 计查看图表信息；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5、按学生状态统计：需满足按照学生状态进行统计查看图表信息。</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6、按学生类型统计：需满足按学生类型分类统计，全日制、非全日制/社区教育进行统计查看图表信息</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学生日常管理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1、学生请销假：学生请销假申请，需满足按照请假天数、是否出省、专业进行流 程定义，可以会签、或签、写签名等设 置，也可以上传图片、附件等信息；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2、假期离校登记：学生离校登记，需满 足可以自定义登记表单、流程，可以进行 会签、或签、手写签名等设置，也可以上 传图片、附件等信息；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3、补卡审核：需满足对学生补卡的审核；</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4、补卡汇总：需满足可查看现有补卡情况汇总；</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5、宿舍维修审核：需满足可对宿舍维修情况审核；</w:t>
      </w:r>
      <w:r/>
    </w:p>
    <w:p>
      <w:pPr>
        <w:ind w:firstLine="480"/>
        <w:spacing w:line="360" w:lineRule="auto"/>
        <w:rPr>
          <w:rFonts w:hint="default"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6、宿舍报修汇总：需满足可查看宿舍报 修汇总；</w:t>
      </w:r>
      <w:r/>
    </w:p>
    <w:p>
      <w:pPr>
        <w:pStyle w:val="760"/>
        <w:rPr>
          <w:rFonts w:hint="eastAsia" w:eastAsia="宋体"/>
          <w:color w:val="auto"/>
          <w:highlight w:val="none"/>
          <w:lang w:val="en-US" w:eastAsia="zh-CN"/>
        </w:rPr>
      </w:pPr>
      <w:r>
        <w:rPr>
          <w:rFonts w:hint="eastAsia" w:ascii="宋体" w:hAnsi="宋体" w:eastAsia="宋体" w:cs="宋体"/>
          <w:b w:val="0"/>
          <w:bCs w:val="0"/>
          <w:color w:val="auto"/>
          <w:sz w:val="24"/>
          <w:highlight w:val="none"/>
          <w:lang w:val="en-US" w:eastAsia="zh-CN" w:bidi="ar-SA"/>
        </w:rPr>
        <w:t xml:space="preserve">7、学生日常考勤：需满足可以自定义登记表单、流程，也可以上 传图片、附件等信息</w:t>
      </w:r>
      <w:r>
        <w:rPr>
          <w:rFonts w:hint="eastAsia" w:ascii="宋体" w:hAnsi="宋体" w:cs="宋体"/>
          <w:b w:val="0"/>
          <w:bCs w:val="0"/>
          <w:color w:val="auto"/>
          <w:sz w:val="24"/>
          <w:highlight w:val="none"/>
          <w:lang w:val="en-US" w:eastAsia="zh-CN" w:bidi="ar-SA"/>
        </w:rPr>
        <w:t xml:space="preserve">。</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违纪处分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1、违纪、处分种类管理：根据学校要求，自定义违纪和处分的基础信息；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2、人员进行处分审核，如果确认处分，需满足学生可以提出申诉申请，相关职能人员进行申诉申请审核，对确认处分的学生进行跟踪教育，根据处分有效时间或良好的表现可解除处分。</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困难生认定</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1、困难类型、业务、家庭困难设置；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2、困难生申请、审核：需要满足学生填写申请信息，相应管理员进行审核，并可查看会汇总情况；</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3、困难生公示：需要按照公示设置进行相应公示；</w:t>
      </w:r>
      <w:r/>
    </w:p>
    <w:p>
      <w:pPr>
        <w:ind w:firstLine="480"/>
        <w:spacing w:line="360" w:lineRule="auto"/>
        <w:rPr>
          <w:rFonts w:hint="eastAsia" w:ascii="Calibri" w:hAnsi="Calibri" w:eastAsia="仿宋" w:cs="Times New Roman"/>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4、需提供对困难生信息查询，对学生受助情况统计。</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资助管理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1、助学金种类管理：需要可进行助学金名称、种类、奖励级别、等级等设置，并且可进行助学金评选条件和规则的设置等；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2、助学金申请审核：需满足学生填写申请信息，相应管理员进行审核，并可查看会汇总情况；</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3、临时补助管理、申请：需要满足对于临时性的补助管理、申请和审核。</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评奖评优</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1、奖学金种类管理：需要满足可进行奖学金名称、种类、奖励级别、等级等设置，并且可进行奖学金评选条件和规则的设置等；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2、奖学金申请、审核：需要满足学生填写申请信息，相应管理员进行审核，并可查看会汇总情况；</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3、需要满足根据专业的各项评奖评优，实现相应的业务流程与界面；评奖评优事项包括且不限于先进班集体、优良学分班、三好学生、优秀学生干部、优秀毕业生等。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勤工俭学</w:t>
      </w: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1、岗位申请：学生在外网申请岗位（需要满足一个学生只能申请一个岗位）—教学部审批—部门审批（保证一个学生只能在一个岗位工作）；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2、勤工俭学工资申报。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心理咨询</w:t>
      </w: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1、咨询预约：需满足可查看咨询预约，并且进行处理咨询预约进行审核，做预约次数限制；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2、咨询档案:需满足可查看咨询档案的列表，咨询学生详细信息查看；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3、重点关注学生：需满足可查看需要重点跟踪处理的重点咨询生。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班主任考核</w:t>
      </w: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班主任考核包含班主任个人自评、学生满意度测评、班主任考核互评、教学部考核等业务管理。</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社团管理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1、社团活动：需满足可查看社团活动；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2、社团活动审核：需满足可对于社团活动进行审核；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3、社团人员维护：需满足对社团名称、社团负责人、社团指导老师、社团人数等基本信息的维护；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4、学生参与的社团活动：需满足可查看学生参与的社团活动；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5、社团活动汇总：需满足查看社团活动的汇总情况。</w:t>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宿舍管理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（1）支持宿舍内勤、查寝等项目设置，如宿舍房间管理，人数管理，男女设置，卫生情况等，按照学校要求完善相关内容；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（2）支持日常查房记录，如晚归、未归、违纪等；可通过人脸识别门禁系统对接获取相关数据，相关异常记录反馈对应负责人；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（3）相关数据按周期形成汇总报表，数据可导出；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（4）支持师生通过手机端填报各项设置数据和反馈；</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（5）分级与授权管理：系部和相关部门为校级管理员可以查阅全部结果，教师查看本班结果，学生可以查询自己结果；统一授权对全部角色权限进行管理，为角色分配用户或用户组。</w:t>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实习管理系统</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实习计划管理</w:t>
      </w:r>
      <w:r/>
    </w:p>
    <w:p>
      <w:pPr>
        <w:ind w:firstLine="480"/>
        <w:spacing w:line="360" w:lineRule="auto"/>
        <w:rPr>
          <w:rFonts w:hint="eastAsia" w:ascii="宋体" w:hAnsi="宋体" w:eastAsia="宋体" w:cs="宋体"/>
          <w:b w:val="0"/>
          <w:bCs w:val="0"/>
          <w:color w:val="auto"/>
          <w:sz w:val="24"/>
          <w:highlight w:val="none"/>
          <w:lang w:val="en-US" w:eastAsia="zh-CN" w:bidi="ar-SA"/>
        </w:rPr>
      </w:pPr>
      <w:r/>
      <w:bookmarkStart w:id="25" w:name="_Hlk189421793"/>
      <w:r>
        <w:rPr>
          <w:rFonts w:hint="eastAsia" w:ascii="宋体" w:hAnsi="宋体" w:eastAsia="宋体" w:cs="宋体"/>
          <w:b w:val="0"/>
          <w:bCs w:val="0"/>
          <w:color w:val="auto"/>
          <w:sz w:val="24"/>
          <w:highlight w:val="none"/>
          <w:lang w:val="en-US" w:eastAsia="zh-CN" w:bidi="ar-SA"/>
        </w:rPr>
        <w:t xml:space="preserve">支持设置实习成绩权重，权重需包含日报、周报、月报、签到，任务（作业）等，同时需支持自定义添加权重项；</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实习日报、周报、月报需支持多种批阅模式，如通过制、打分制；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实习日报、周报、月报需支持设置限制学生最少填写字数；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实习日报、周报、月报需支持校验节假日，节假日不计算成绩；</w:t>
      </w:r>
      <w:bookmarkEnd w:id="25"/>
      <w:r/>
    </w:p>
    <w:p>
      <w:pPr>
        <w:ind w:firstLine="482"/>
        <w:spacing w:line="360" w:lineRule="auto"/>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▲支持设置是否允许实习总结期进行签到等实习操作，支持设置总结期实习操作是否计入实习成绩；（需提供真实系统对应功能截图或供货期内能开发出符合要求的承诺函）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支持教师批阅日报、周报、月报支持打分，同时支持写评语；</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实习日报、周报、月报、总结支持自定义设置审批教师。</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支持教师移动端学生管理，查看所有指导的学生实习的信息，家庭信息，实习公司信息；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指导教师支持按日历查看日报、周报和月报完成情况；支持设置允许补录几周前的报告；</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支持学生提交三方协议和保险等材料，提交内容支持自定义；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支持对实习计划内的学生进行分组管理，按组进行岗位分配和轮转，管理员和教师可以设置各组轮转岗位，各岗位容纳组数以及轮岗周次。</w:t>
      </w:r>
      <w:r/>
    </w:p>
    <w:p>
      <w:pPr>
        <w:ind w:firstLine="480"/>
        <w:spacing w:line="360" w:lineRule="auto"/>
        <w:rPr>
          <w:rFonts w:hint="eastAsia" w:ascii="宋体" w:hAnsi="宋体" w:eastAsia="宋体" w:cs="宋体"/>
          <w:b w:val="0"/>
          <w:bCs w:val="0"/>
          <w:color w:val="auto"/>
          <w:sz w:val="24"/>
          <w:highlight w:val="none"/>
          <w:lang w:val="en-US" w:eastAsia="zh-CN" w:bidi="ar-SA"/>
        </w:rPr>
      </w:pPr>
      <w:r/>
      <w:bookmarkStart w:id="26" w:name="_Hlk189421808"/>
      <w:r>
        <w:rPr>
          <w:rFonts w:hint="eastAsia" w:ascii="宋体" w:hAnsi="宋体" w:eastAsia="宋体" w:cs="宋体"/>
          <w:b w:val="0"/>
          <w:bCs w:val="0"/>
          <w:color w:val="auto"/>
          <w:sz w:val="24"/>
          <w:highlight w:val="none"/>
          <w:lang w:val="en-US" w:eastAsia="zh-CN" w:bidi="ar-SA"/>
        </w:rPr>
        <w:t xml:space="preserve">支持进行实习计划复制，已设置的实习要求可直接复制到新的学期。    </w:t>
      </w:r>
      <w:bookmarkEnd w:id="26"/>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实习过程监控</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移动端打卡签到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精准实时签到：学生通过移动端实现移动远程打卡签到，签到需支持拍照上传 。</w:t>
      </w:r>
      <w:r/>
    </w:p>
    <w:p>
      <w:pPr>
        <w:ind w:firstLine="480"/>
        <w:spacing w:line="360" w:lineRule="auto"/>
        <w:rPr>
          <w:rFonts w:hint="eastAsia" w:ascii="宋体" w:hAnsi="宋体" w:eastAsia="宋体" w:cs="宋体"/>
          <w:b w:val="0"/>
          <w:bCs w:val="0"/>
          <w:color w:val="auto"/>
          <w:sz w:val="24"/>
          <w:highlight w:val="none"/>
          <w:lang w:val="en-US" w:eastAsia="zh-CN" w:bidi="ar-SA"/>
        </w:rPr>
      </w:pPr>
      <w:r/>
      <w:bookmarkStart w:id="27" w:name="_Hlk189421827"/>
      <w:r>
        <w:rPr>
          <w:rFonts w:hint="eastAsia" w:ascii="宋体" w:hAnsi="宋体" w:eastAsia="宋体" w:cs="宋体"/>
          <w:b w:val="0"/>
          <w:bCs w:val="0"/>
          <w:color w:val="auto"/>
          <w:sz w:val="24"/>
          <w:highlight w:val="none"/>
          <w:lang w:val="en-US" w:eastAsia="zh-CN" w:bidi="ar-SA"/>
        </w:rPr>
        <w:t xml:space="preserve">打卡地点灵活调整：支持在自定义设置的一定范围内微调打卡地点，满足学生因工作场景变化产生的打卡需求，同时配备打卡地点校验功能，保障打卡位置的真实性。</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多岗位打卡设置:支持同一实习计划设置多个工作岗位，多个打卡签到地点。</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支持自定义签到类型，如上班，外勤，居家办公等。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学生移动端可申请签到豁免，教师审核通过后豁免期内签到状态默认为正常。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签到增加节假日校验，节假日不计算签到次数。</w:t>
      </w:r>
      <w:bookmarkEnd w:id="27"/>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考勤异常预警</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实时考勤查看：管理员、教师可在平台实时查看学生考勤情况，系统自动对正常与异常签到记录进行区分，方便教师及时掌握学生出勤动态。</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多角色预警条件设置：支持对管理员、指导教师、学生分别设置预警条件。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管理员预警：支持设置管理员对院系、专业、班级的异常考勤、日报、周报、月报等提交率、批阅率设置预警条件。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指导教师预警：支持设置指导教师对学生日报、周报、月报等批阅率设置预警条件。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学生预警：支持设置学生异常考勤、日报、周报、月报未上交等预警。</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预警通知：预警信息需及时、精准，支持设置预警频率与预警实践周期。</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实习资料上传</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丰富格式支持：学生可上传实习相关文档、照片、视频及报告，满足学生多样化的资料记录需求。</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在线指导与实习进度</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便捷在线指导：教师能够在平台上对学生进行在线指导，可通过文字、语音、视频等多种方式与学生沟通，及时解决学生实习过程中遇到的问题。</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全面实习进展跟踪：学校通过平台实时掌握学生实习进展，包括学生的日报、周报、月报、成绩、任务作业完成情况等，以便对实习教学进行有效管理。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教师个性化定制：支持教师角色自定义，管理员可根据不同角色需求，对平台功能进行个性化设置，如调整界面布局、设置常用功能快捷键等，以更好地开展实习指导工作。</w:t>
      </w:r>
      <w:r/>
    </w:p>
    <w:p>
      <w:pPr>
        <w:ind w:firstLine="480"/>
        <w:spacing w:line="360" w:lineRule="auto"/>
        <w:rPr>
          <w:rFonts w:hint="eastAsia" w:ascii="宋体" w:hAnsi="宋体" w:eastAsia="宋体" w:cs="宋体"/>
          <w:b w:val="0"/>
          <w:bCs w:val="0"/>
          <w:color w:val="auto"/>
          <w:sz w:val="24"/>
          <w:highlight w:val="none"/>
          <w:lang w:val="en-US" w:eastAsia="zh-CN" w:bidi="ar-SA"/>
        </w:rPr>
      </w:pPr>
      <w:r/>
      <w:bookmarkStart w:id="28" w:name="_Hlk189421904"/>
      <w:r>
        <w:rPr>
          <w:rFonts w:hint="eastAsia" w:ascii="宋体" w:hAnsi="宋体" w:eastAsia="宋体" w:cs="宋体"/>
          <w:b w:val="0"/>
          <w:bCs w:val="0"/>
          <w:color w:val="auto"/>
          <w:sz w:val="24"/>
          <w:highlight w:val="none"/>
          <w:lang w:val="en-US" w:eastAsia="zh-CN" w:bidi="ar-SA"/>
        </w:rPr>
        <w:t xml:space="preserve">视频直播：指导教师可发起视频直播，与实习中学生进行交流，并能够设置回看。  </w:t>
      </w:r>
      <w:bookmarkEnd w:id="28"/>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实习岗位管理</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单位（岗位）管理</w:t>
      </w:r>
      <w:r/>
    </w:p>
    <w:p>
      <w:pPr>
        <w:ind w:firstLine="480"/>
        <w:spacing w:line="360" w:lineRule="auto"/>
        <w:rPr>
          <w:rFonts w:hint="eastAsia" w:ascii="宋体" w:hAnsi="宋体" w:eastAsia="宋体" w:cs="宋体"/>
          <w:b w:val="0"/>
          <w:bCs w:val="0"/>
          <w:color w:val="auto"/>
          <w:sz w:val="24"/>
          <w:highlight w:val="none"/>
          <w:lang w:val="en-US" w:eastAsia="zh-CN" w:bidi="ar-SA"/>
        </w:rPr>
      </w:pPr>
      <w:r/>
      <w:bookmarkStart w:id="29" w:name="_Hlk189421916"/>
      <w:r>
        <w:rPr>
          <w:rFonts w:hint="eastAsia" w:ascii="宋体" w:hAnsi="宋体" w:eastAsia="宋体" w:cs="宋体"/>
          <w:b w:val="0"/>
          <w:bCs w:val="0"/>
          <w:color w:val="auto"/>
          <w:sz w:val="24"/>
          <w:highlight w:val="none"/>
          <w:lang w:val="en-US" w:eastAsia="zh-CN" w:bidi="ar-SA"/>
        </w:rPr>
        <w:t xml:space="preserve">单位（岗位）录入：支持自动验证企业信息，并通过单位名称自动匹配企业统一社会信用代码。</w:t>
      </w:r>
      <w:bookmarkEnd w:id="29"/>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单位（岗位）信息自定义设置：管理员支持自定义设置企业录入时，需要填写的信息。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支持自定义设置岗位签到信息，上下班时间与签到地点。</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岗位申请审核</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自主申请便捷流程：学生可自主搜索岗位并提交申请，平台提供简洁明了的申请界面和操作流程，方便学生快速完成申请。</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双向高效审核机制：学校和企业双向审核，学生申请岗位支持多角色审核，并给出审核意见。</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审核结果及时反馈：审核结果及时反馈给学生，学生可在平台查看审核进度和结果，对于未通过审核的学生，提供详细的原因说明，便于学生改进。</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实习双选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企业端：支持企业发布岗位，企业可详细填写岗位名称、职责、要求、薪资待遇等信息。同时，企业有权审核岗位申请，在学生提交申请后，企业能查看学生的详细简历、成绩、过往实习经历等资料，做出审核决策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学生端：支持学生发起岗位申请，学生可浏览企业发布的岗位信息，根据自身兴趣和职业规划选择合适岗位提交申请。若企业要求学生补充信息或给予反馈，学生可进行二次回复岗位申请，完善自身申请内容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自动拒绝机制：平台需支持设定时间规则，对于待学生二次确认的双选申请，48 小时后若学生未进行确认操作，系统将自动拒绝该申请；对于待企业审核的双选申请，24 小时后若企业未进行审核操作，系统将自动拒绝该申请，以此提高双选效率，避免流程拖延 。</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岗位信息管理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灵活岗位信息管理：平台提供全面的岗位信息管理功能，企业可对发布的岗位信息进行编辑、删除操作，根据实际需求及时更新岗位信息。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岗位分配详情：需支持查看岗位申请情况，查看该岗位分配分数、剩余可分配数等。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可视化岗位分配：支持岗位分配统计可视化，以图表等直观形式展示岗位分配情况，如各岗位的申请人数、录取人数、专业分布等，为管理决策提供详细的岗位安排记录，方便学校和企业了解岗位安排的合理性，优化岗位分配策略。</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数据统计</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学生签到数据统计：支持按人、天、院系、计划、专业、班级等维度查看学生签到数据。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学生报告数据统计：支持查看学生日报、周报、月报提交数据以及批阅率，便于教师掌握学生任务完成情况，及时督促。</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学生成绩管理：支持查看学生签到、日报、周报、月报、测试等各项成绩占比以及综合成绩。</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学生实习统计：支持查看学生实习签到记录、实习期间各项数据，以及日报、周报、月报的提交与审核情况；同时支持自定义配置学生材料模板。</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教师详情统计：支持查看教师指导情况以及日/周/月批阅情况，便于管理员掌握教师工作状态，优化教学管理。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支持从计划、班级、专业、院系等维度，统计学生实习参与情况，以及实习相关的日报、周报、月报提交与批阅情况。</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实习手册生成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平台自动汇总学生实习期间的岗位详情、考勤记录、各项报告内容、教师评语与打分、任务完成情况等信息，确保实习手册内容全面。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个性化模板定制：平台支持自定义设置基础手册模板库，涵盖多种学科专业、实习类型，学校各级管理员可在模板基础上，自定义手册内容布局。</w:t>
      </w:r>
      <w:r/>
    </w:p>
    <w:p>
      <w:pPr>
        <w:ind w:firstLine="480"/>
        <w:spacing w:line="360" w:lineRule="auto"/>
        <w:rPr>
          <w:rFonts w:hint="eastAsia" w:ascii="宋体" w:hAnsi="宋体" w:eastAsia="宋体" w:cs="宋体"/>
          <w:b w:val="0"/>
          <w:bCs w:val="0"/>
          <w:color w:val="auto"/>
          <w:sz w:val="24"/>
          <w:highlight w:val="none"/>
          <w:lang w:val="en-US" w:eastAsia="zh-CN" w:bidi="ar-SA"/>
        </w:rPr>
      </w:pPr>
      <w:r/>
      <w:bookmarkStart w:id="30" w:name="_Hlk189421989"/>
      <w:r>
        <w:rPr>
          <w:rFonts w:hint="eastAsia" w:ascii="宋体" w:hAnsi="宋体" w:eastAsia="宋体" w:cs="宋体"/>
          <w:b w:val="0"/>
          <w:bCs w:val="0"/>
          <w:color w:val="auto"/>
          <w:sz w:val="24"/>
          <w:highlight w:val="none"/>
          <w:lang w:val="en-US" w:eastAsia="zh-CN" w:bidi="ar-SA"/>
        </w:rPr>
        <w:t xml:space="preserve">实习手册模板支持自由调整模块顺序，增减页面元素，支持上传学校或专业专属的 logo、图标等元素，实现手册模板的深度个性化定制。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手册内容深度自定义设置：支持对手册字体、字号、排版样式等方式，强化内容呈现效果。支持自定义设置页眉页脚信息，如学校名称、实习周期、专业名称等，全方位满足不同专业的多样化需求，贴合实际教学需求的实习手册 。</w:t>
      </w:r>
      <w:bookmarkEnd w:id="30"/>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实习手册导出：需支持按照实习计划进行统一下载导出，支持导出pdf格式。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就业管理系统</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毕业去向登记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管理员自行导入学生毕业去向信息数据；学生按学校规定信息字段填写毕业去向登记，需提交毕业去向证明并提交院校审核；学生可多次提交毕业去向，完善职业生涯信息；提供管理员导入和学生登录填报两种功能；</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毕业去向审核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管理员对学生填写毕业去向进行审核，对问题登记进行驳回等处理操作；</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毕业去向追踪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支持管理员对学生毕业去向进行追踪，可查看学生所有毕业去向情况，并支持管理员增加、删除、提交学生毕业去向信息等管理操作。</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就业指导管理</w:t>
      </w: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就业指导课程、讲座；就业规划、就业流程、商务沟通、简历面试、就业技能、创业等课程；生涯规划课程、讲座职业规划、自我认知、行业知识、学习方法、性格认知等课程、讲座。</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就业大数据分析</w:t>
      </w: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按照毕业生实际毕业去向对毕业生基本信息、去向信息等进行多维度统计和汇总分析，生成毕业生大数据统计报表；通过就业大数据统计，指导学校未来的招生工作；统计数据包含且不仅限于以下内容：就业率、升学率、出国率统计就业、升学、出国人数情况统计；</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按毕业生去向类型、去向省份、毕业生个人信息等多维度对毕业去向进行统计分析历年已就业从业人员方向统计在校生期望从业方向统计。</w:t>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党建管理系统</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党委管理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1、要求传达：包括中央精神、学校要求及政府规定等内容；</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2、支部标准化建设的工作开展情况：包括支部基本情况查询、三会一课情况、两学一做情况、各支部考核、评议情况、支部完成其他相关业务情况及记录查询等；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3、工作落实情况：包括中心组学习、党委会相关流程及重要管理决策落实、民主生活会的开展情况等；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4、工作布置：工作安排，工作反馈，活动发起，表彰，党务公开，党内监督（书记信箱）等；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5、基层党建品牌开展情况：了解特色党建活动、了解党员思想意识形态、了解基层工作特色成果等。</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支部管理员</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1、支部基础信息管理：支部基础信息的维护、支部领导班子的信息维护、支部奖惩情况维护等、党组织地图信息维护；</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2、支部日常工作情况：三会一课的规划、通知、执行、记录；“两学一做”的学习内容规划；党费缴纳统计；支部党员发展；支部党组织关系转移手续办理；上级安排的任务的落实及反馈；支部台账的记录等；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3、支部建设：支部党员的学习内容、学习效果的检测、支部党员的意识形态掌握、特殊党日活动的规划、组织与总结等；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4、工作汇报与总结：支部情况的汇总统计、支部每名党员的积分及排名情况、支部工作成果的传播和总结等。</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党务工作者</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1、精神传达：相关新闻的发布及发表，文章的录入等；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2、会议、活动的组织：配合党委或者支部书记做会议、活动的设计、组织及总结记录；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3、党务工作：党费收缴、党支部基本信息录入等工作；</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4、资料撰写：配合党委和支部书记撰写总结材料、数据统计等。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党员管理</w:t>
      </w: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1、个人学习：党员需要接受各种政策、精神、法律、法规的学习，积极提交学习心得，提升四个意识；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2、工作参与：党员要积极参加到党组织的各项工作、活动中去，按时完成会议记录、活动心得等；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3、党员发声：党员要积极参与到党内讨论中，发表自己的想法，为群众反映问题，勇于批评与自我批评，树立良好风气。</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群众管理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1、党建要闻：可以了解最新的中央精神、政策、法律法规等；了解身边党组织的活动、工作进展等；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2、参与互动：群众需要通过互联网与党组织进行直接沟通交流，让群众感受到党员的先锋模范带头作用；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3、寻找支部：可以寻找到身边的党支部，形成有困难找党员的社会风气；也为普通群众提供一个接近党组织、了解党组织、加入党组织的途径；</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4、监督渠道：为群众提供“民意直达”的新途径。</w:t>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教科研管理系统</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教师获奖管理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1）支持教职工提交国家、省、市和校级获奖信息；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2）支持管理人员审核提交的相关材料；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3）支持多维度查询获奖情况；</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课题管理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1）支持把国家、省、市、校级课题纳入管理范畴，教职工可以提交课题名称、类型、级别、负责人、经费、支出经费和相关附件材料；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2）支持管理人员审核提交的相关课题材料，支持多维度查询课题情况。</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论文管理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1）支持对教职工发表的论文进行登记统计管理；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2）支持教职工填报提交包括论文标题、级别、刊名，发表时间、字数和相关附件材料；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3）支持管理人员审核提交的相关论文材料，支持多维度查询论文情况；</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证书管理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1）支持教职工上传提交各类证书，如毕业证、教师资格证和各类获奖证书等；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2）支持相关部门对证书审核。系统支持多维度查询证书情况</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师资培训管理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1）支持教师新增参与过的各种培训，填写培训内容，上传培训证书和培训总结，由管理人员审核培训材料；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2）支持下载培训证书和培训总结；</w:t>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图书馆管理系统</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资源采访</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数据导入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1.支持导入征订目录、导入订购记录、导入验收记录、更新订购待编记录、导入套录数据、导入批量退订；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2.数据导入支持MARC文件和Excel文件，文件格式智能识别；</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3.导入MARC文件支持GBK、UNICODE、UTF-8、MARC8编码格式；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4.支持同一批次征订目录、订购记录，多币种、多国别、多语种数据导入；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5.导入Excel文件时，支持xls和xlxs格式转换，支持Excel工作表的切换。自动识别导入Excel文件的表头，提供MARC字段匹配库，自动匹配映射MARC字段；</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征订管理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1.支持征订目录的独有或共享，支持经费的独有或共享；</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2.支持总馆与院系分馆之间以工作台协作采购，自由组配经费。并且各馆经费的使用额度能得到有效控制；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3.每一条采购流水的订购方式可追溯，包含征订目录订购、直接订购、读者推荐订购、PDA订购等；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4.灵活的黑名单管理，支持编辑及移除黑名单；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5.支持批次查重及关联订购、批量删除、批量订购、批量加入黑名单等处理工作；</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6.支持按订购号、采购流水号、题名、责任者、出版社、出版年、分类号、价格等多种条件排序；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7.业务操作进行筛选书目时，可快速选用已经设置好的个人采选策略；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8.支持根据出版年、价格、出版社、责任者、分类、币种等条件的复合筛选；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9.可通过中央知识库获取作者简介、图书简介等信息；</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荐购处理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1.支持对图书和电子资源库、期刊做采购申请处理和回复；</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2.支持批量查重，针对查重结果可查看重复元数据及重复元数据下纸质馆藏、电子馆藏、数字馆藏、订购记录；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3.支持关联在订记录；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4.荐购记录被订购及入藏时，系统可自动通过EMAIL或短信自动反馈读者；</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资源订购</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1.支持按订购包、按全部订购记录查看本馆订单，可在全部订单中检索订购记录；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2.支持检索本馆元数据、中央知识库及其他联机站点元数据，直接订购的方式；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3.支持提供MARC或Excel文件，设置订购工作台、经费、套数，直接导入订购记录；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4.支持单条、批量调整订购信息、规则分配馆藏地；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5.支持批量更新参数、调整订购、更改订购包、删除订购记录、退订；支持批量导出、打印订购记录；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6.支持批量查重；弹窗展示重复结果；</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7.支持查看订购元数据的MARC详情、往年订购记录、荐购记录等；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8.批次内支持按订购工作台筛选、导出订单；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9.实时获取中国银行远期汇率，订购、验收时，人民币和外币价格可换算。</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10.支持订单发订审核；</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供应商预警</w:t>
      </w:r>
      <w:r>
        <w:rPr>
          <w:rFonts w:hint="eastAsia" w:ascii="宋体" w:hAnsi="宋体" w:eastAsia="宋体" w:cs="宋体"/>
          <w:b w:val="0"/>
          <w:bCs w:val="0"/>
          <w:color w:val="auto"/>
          <w:sz w:val="24"/>
          <w:highlight w:val="none"/>
          <w:lang w:val="en-US" w:eastAsia="zh-CN" w:bidi="ar-SA"/>
        </w:rPr>
        <w:tab/>
      </w:r>
      <w:r>
        <w:rPr>
          <w:rFonts w:hint="eastAsia" w:ascii="宋体" w:hAnsi="宋体" w:eastAsia="宋体" w:cs="宋体"/>
          <w:b w:val="0"/>
          <w:bCs w:val="0"/>
          <w:color w:val="auto"/>
          <w:sz w:val="24"/>
          <w:highlight w:val="none"/>
          <w:lang w:val="en-US" w:eastAsia="zh-CN" w:bidi="ar-SA"/>
        </w:rPr>
        <w:t xml:space="preserve">1.支持设置供应商预期交付时间，在机构参数设置预计交付周期后，按周期推算供应商单个批次的供全率、供准率、及时率；</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2.达到预计交付日期当日，若供应商存在未到记录则输出预警文件，并向订购包创建人发送通知；</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一次性接收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1.图书一次性接收支持订购验收、自采验收、受赠验收。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2.验收时支持检索查重。</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3.支持总签、分签、不签多种验收方式。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4.订购验收支持直接追加订购记录；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5.支持多卷册图书的验收处理；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6.支持批量更改数据的验收包；</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7.财产号、条码号支持按工作台财产账参数自动分配。支持不自动分配财产账。</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8.支持自动生成索书号；</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9.支持设置馆藏地分配规则，验收时自动根据规则分配馆藏地。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10.支持编目验收，同时处理验收和编目；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11.支持对查重结果合并元数据、移除验收等操作；</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12.支持批量导入验收，导入时支持设置书刊状态及元数据状态；</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13.索书号重复支持导入；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14.支持导入文件完成订购数据MARC和订购价格的更新</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受赠管理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1.支持受赠管理，管理、添加捐赠记录，包含OPAC读者自主提交捐赠记录以及馆员自建记录；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2.支持对捐赠记录根据题名、责任者、ISBN等多维度组合查重、导出、不藏、入藏。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3.支持后台发布捐赠记录的公告，便于读者在OPAC查看</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送编交接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1.支持选择多验收批次送编交接。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2.支持按条码号或者财产号区间送编交接。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3.支持多个验收包送交至一个编目包，支持一个验收包数据送交至多个编目包。</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经费管理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1.支持多总分馆间的经费共享，设置订购工作台的经费使用权限；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2.支持经费的可使用周期、总额设置；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3.支持管理经费收支记录及预支记录；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4.支持经费配置来源账户及其预警值，到达预警值后自动给馆员发消息；</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连续出版物</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签收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1.支持直接编辑MARC信息以及签收信息；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2.支持继承去年签收参数生成签到卡片；</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3.可根据不同订购工作台设置不同的签收参数，各自分别签收；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4.可针对固定频率期刊，非固定频率期刊，特殊卷期期刊分别通过参数生成准确的卷期信息；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5.支持预到日期和催缺日期的设置；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6.支持合订本装订参数的设定；</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7.支持日历签、卡片签、列表签三种签到方式；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8.支持期刊卷期批量签收以及退签功能；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9.支持导入文件批量签收；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10.支持提供批量新增卷期；</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11.支持卷期顺序调整；</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12.支持进入签收页面时自动定位到未签收单刊上；</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13.满足正常刊、增刊以及合刊等期刊类型的签收，同时支持字典表形式自定义期刊类型。</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14.具备多种特殊的签收情况处理，包含增刊、合刊、索引刊、副刊等。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15.支持现刊分配条码自动单刊典藏；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16.支持在签收时对现刊标记“停止催缺”；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17.支持查看往年馆藏信息及已签收现刊具体信息；</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现刊催缺</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1.可按照缺刊、所有缺刊、未签刊、断刊类型进行邮件催缺；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2.提供按照供应商、订购年度筛选检索功能；</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现刊交接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1.可按照签收日期，人员，分配地筛选条件进行交接；</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2.支持取消交接功能；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3.支持交接期刊数据打印和导出；</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排架号管理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1.可根据订购年度，分配地以及不同选项检索期刊；</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2.可根据分类号，往年排架号，文件导入方式生成新一年排架号；</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过刊下架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1.可按照出版年，分配地条件进行下架；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2.支持取回下架期刊；</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3.可对不典藏的现刊信息进行批量报废、遗失、赠送处理；</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合订本装订</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1.通过检索单刊，选择装订单刊实现合订本装订；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2.可自动生成起止卷期相关信息；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3.可对合订本中单刊进行增删操作；</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4.可对合订本进行编辑和删除操作；</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合订本验收</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1.可对合订本批量验收；</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2.可针对合订本批量送流通；</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3.可批量修改合订本典藏信息；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4.支持自动生成合订本条码号，财产号；</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单刊典藏</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1.可针对期刊卷期进行批量单刊典藏操作，已单刊典藏期刊可流通借还；</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2.可批量修改单刊卷期信息；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3.支持自动生成单刊条码号，财产号；</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过刊处理</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1.可对不典藏的现刊信息进行批量报废、遗失、赠送处理；</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资源管理</w:t>
      </w:r>
      <w:r>
        <w:rPr>
          <w:rFonts w:hint="eastAsia" w:ascii="宋体" w:hAnsi="宋体" w:eastAsia="宋体" w:cs="宋体"/>
          <w:b/>
          <w:color w:val="auto"/>
          <w:sz w:val="24"/>
          <w:szCs w:val="22"/>
          <w:highlight w:val="none"/>
          <w:lang w:val="en-US" w:eastAsia="zh-CN" w:bidi="ar-SA"/>
        </w:rPr>
        <w:tab/>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元数据支持范围</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1.国际国内编目标准：支持CNMARC、USMARC、RDA、DC、DCTERMS等规范；</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2.支持GBK、UNICODE、UTF-8字符集，实现多语种编目；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3.USMARC的关联数据展现，并且根据系统生成的链接可以跳转id.loc.gov网站查看对应的LinkedData；</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4.BIBFRAME数据展示；</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元数据扩展编辑功能</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1.提供系统模板，同时支持自定义元数据模板功能，自定义模板可在机构内、机构间共享；</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2.支持用元数据模板覆盖、补缺、添加全部字段到marc中；</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3.支持多种自动生成marc字段的规则，用户可自由选择配置规则；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4.基于中央知识库，可实现规则共享区下载、本地应用；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5.实现marc字段中简繁体互换，生成指定字段拼音；</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6.支持锁定元数据，锁定状态下无法编辑，防止老师误操作；</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7.增加中图法分类名称提示，直接根据分类号展示对应的分类名称；</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元数据获取</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1.联机检索支持多题名、多主题词的检索，同时可通过Z39.50广播查询下载，包括国图、CALIS等多数据来源检索；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2.支持转入套录数据，在套录库中按批次查看转入的套录元数据，并在编目页面可以检索套录数据；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3.支持复制网页上marc数据，包括美国国会图书馆、中国国家图书馆等多个中外文网站。获取MARC的过程可以设置原MARC保留字段，可以设定来源MARC过滤字段。</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元数据检索与查重</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1.支持查重、关联检索，支持元数据分屏查看、复制字段、合并、覆盖操作；</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2.支持按CALIS号、国会号等条件检索馆内和联机数据；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3.支持元数据的查重合并功能，进行元数据统一，形成纸电一体化管理；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4.支持对元数据进行批量查重、批量合并功能，且批量合并时可自定义保留字段；</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5.支持设置默认查重条件；支持多种条件的查重，包括正题名、题名组、标准号等，并支持多种查重条件的自由组合。更支持多题名、多主题词的检索。查重范围可仅限本馆或全部成员馆；</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索书号处理</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1.通过著者号、卡特号、种次号、四角号码四种方式自成生成索书号，支持复分号的自动生成；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2.支持西文卡特号表维护；</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3.支持自定义四角号码生成规则；</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4.支持使用快捷键快速生成索书号；</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5.支持用户自定义复分号初始值；</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复本处理</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1.同时支持纸质、电子、数字多资源的馆藏管理；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2.支持图片、文档等多种数字资源管理。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3.支持在编目页面直接将现刊装订成合订本，并且可同时展示现刊、过刊合订本的编目信息；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4.支持附件的管理，附件与纸本馆藏一一关联，附件馆藏地、年代等信息随纸本馆藏变化而变化；</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5.纸质、电子、数字三种资源元数据进行统一管理，同时支持纸质、电子、数字多资源的馆藏管理；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6.支持查看期刊对应的篇级数据信息，同时显示该目录下的文章信息，包含篇名、责任者、页码和对应的URL等信息；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7.支持手动上传图书目录，目录格式为国际通用标准DCTERMS。</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个人工作区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1.支持设置个人工作区，支持多种方式添加工作区数据：上传MARC文件创建个人工作区、按检索检索数据加入工作区、按检索规则加入个人工作区；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2.支持批量查找本馆无财产订购记录相关的元数据加入工作区，进行本馆冗余元数据处理。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3.支持MARC批量新增字段、修改子字段、删除字段、删除子字段等；</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书标打印</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1.提供书标打印功能，可补打书标。根据规则限定、单种/册扫描添加及批量添加方式获取提取书标列表。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2.支持书标打印调整书标打印格式、预览打印效果。</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3.支持不同编目方式下的书标打印，应能够按条码、索书号、复本编辑时间、复本创建时间、原编时间排序。</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资源典藏</w:t>
      </w:r>
      <w:r>
        <w:rPr>
          <w:rFonts w:hint="eastAsia" w:ascii="宋体" w:hAnsi="宋体" w:eastAsia="宋体" w:cs="宋体"/>
          <w:b/>
          <w:color w:val="auto"/>
          <w:sz w:val="24"/>
          <w:szCs w:val="22"/>
          <w:highlight w:val="none"/>
          <w:lang w:val="en-US" w:eastAsia="zh-CN" w:bidi="ar-SA"/>
        </w:rPr>
        <w:tab/>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新书分配</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1.新书分配支持按规则方式和条码方式分配；</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2.可设置自动分配规则模板，根据分类、数量分配馆藏地；</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馆藏调拨</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1.支持按馆藏地、当前地方式批量调拨；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2.支持导入外部文件批量调拨；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3.支持扫码单册加入调拨包；</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4.支持调拨时变更财产归属地，变更流通政策及借阅属性；</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馆藏清点</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1.支持取消清点功能；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2.通过清点后对比。得到未清点到、在馆异常、非本馆馆藏目录；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3.支持查看清点馆藏统计；</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4.支持对已清点批次二次清点；</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单册处理</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1.对单册图书扫码，进行报废、赠送、交换、丢失、送修、回验、上架处理；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2.可更改单册图书的馆藏地、当前地、借阅属性、流通政策等信息。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3.可通过移动端处理；</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批量处理当前地</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1.支持按照馆藏地、当前地、经手人、还书日期检索查询，能够查询历史处理记录；</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2.支持按照馆藏地恢复当前地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3.支持批量处理馆藏地和当前地；</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密集库管理</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1.支持图书的排架管理。可筛选排架号浏览图书，支持对排架号进行统计</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2.可用导入文件方式批量生成排架号；</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3.可在处理过程中修改馆藏地和借阅属性；</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读者服务</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读者管理</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1.提供读者新增、修改、删除</w:t>
      </w:r>
      <w:r>
        <w:rPr>
          <w:rFonts w:hint="eastAsia" w:eastAsia="宋体"/>
          <w:b w:val="0"/>
          <w:bCs w:val="0"/>
          <w:color w:val="auto"/>
          <w:highlight w:val="none"/>
          <w:lang w:eastAsia="zh-CN"/>
        </w:rPr>
        <w:t xml:space="preserve">、</w:t>
      </w:r>
      <w:r>
        <w:rPr>
          <w:rFonts w:hint="eastAsia"/>
          <w:b w:val="0"/>
          <w:bCs w:val="0"/>
          <w:color w:val="auto"/>
          <w:highlight w:val="none"/>
        </w:rPr>
        <w:t xml:space="preserve">注销，冻结</w:t>
      </w:r>
      <w:r>
        <w:rPr>
          <w:rFonts w:hint="eastAsia" w:ascii="宋体" w:hAnsi="宋体" w:eastAsia="宋体" w:cs="宋体"/>
          <w:b w:val="0"/>
          <w:bCs w:val="0"/>
          <w:color w:val="auto"/>
          <w:sz w:val="24"/>
          <w:highlight w:val="none"/>
          <w:lang w:val="en-US" w:eastAsia="zh-CN" w:bidi="ar-SA"/>
        </w:rPr>
        <w:t xml:space="preserve">功能；读者具备多种有效证件模式：借阅证、辅助证；</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2.可根据多种条件检索导出读者；可导出读者的借阅、违章、罚款信息；</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流通管理</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1.提供借书，还书功能，借还图书后显示图书所在地；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2.提供遗失赔偿功能，遗失赔偿页面显示书目详细信息，可进行赔书，赔款，并支持遗失预处理功能；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3.提供读者签到、图书登记、读者图书登记、现刊登记、读者现刊登记功能，并支持阅览日志查询；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4.提供已交接现刊的无条码借还功能；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5.提供读者短期借还书功能；</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请求管理</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1.提供图书预约/委托功能，支持本地和跨馆预约；</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2.提供新书和还书上架的物流管理，图书所在地以及状态会随物流变化而变化，保证读者在统一检索系统查询到的图书状态的准确；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3.图书到书后，管理员可通过系统向读者发送到书提醒；</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4.读者多次到书未取，可进行违约处罚</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特色服务</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1.评价管理：读者可对图书进行打分；读者可对图书发布书评；可批量审核发布书评；可批量删除书评；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2.问卷调查：可自行设计问卷调查；可设置问题为填空题，单选题，多选题，是否必填；可对问卷调查做批量发布；可查看问卷调查的反馈结果；</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统计报表</w:t>
      </w:r>
      <w:r>
        <w:rPr>
          <w:rFonts w:hint="eastAsia" w:ascii="宋体" w:hAnsi="宋体" w:eastAsia="宋体" w:cs="宋体"/>
          <w:b/>
          <w:color w:val="auto"/>
          <w:sz w:val="24"/>
          <w:szCs w:val="22"/>
          <w:highlight w:val="none"/>
          <w:lang w:val="en-US" w:eastAsia="zh-CN" w:bidi="ar-SA"/>
        </w:rPr>
        <w:tab/>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资源采购</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提供经费支出、订购等相关的统计，包含：经费支出统计、订购统计（征订目录订购、出版社订购、一次性接收订购、连续出版物订购、电子资源库订购）、纸质经费到书、纸质书刊来源、书商到书率、订购逾期未到、到书分类外借、连续出版物签收、资源库总览、电子资源库涨幅等统计；</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资源保障</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1.提供纸本馆藏数据分布、分类、增长统计；分类统计需提供中图法22大类以及教育部学科门类、教育部一级学科和教育部二级学科的统计方式</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资源利用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1.提供文献分类借还、文献分类阅览、读者请求分类、文献借还周转率、文献借还利用率、文献借阅率、文献外借周期、文献热门排行、OPAC热门检索词等统计；</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读者服务</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1.提供读者服务相关统计，包含读者借还、读者借阅量、读者借还趋势、超期罚款、读者使用排行榜、读者成分、读者增长量，同时还支持超期罚款、遗失赔偿、PDA借出明细、借阅出版社等统计；</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运行日志</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1.提供流通日志、账目收支、注册业务结算、工作人员日志、工作量（工作台、工作人员、工作类型）相关统计；</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参数配置</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1.提供个人统计中心，支持将统计及条件保存为模板至个人统计中心；</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2.提供自定义分类模板配置；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3.提供电子资源统计相关配置，包括：发文引文管理、COUNTER报告管理；</w:t>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专业教学资源库系统</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平台总体要求</w:t>
      </w:r>
      <w:r>
        <w:rPr>
          <w:rFonts w:hint="eastAsia" w:ascii="宋体" w:hAnsi="宋体" w:eastAsia="宋体" w:cs="宋体"/>
          <w:b/>
          <w:color w:val="auto"/>
          <w:sz w:val="24"/>
          <w:szCs w:val="22"/>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1、各专业教学资源库达到统一管理：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构造能够满足教学资源建设长期持续发展的应用框架，实现支撑平台的集中化。学校针对专业资源无论是网站还是资源数据都能够达到统一的管理。整合学校的有效网络资源，将资源统一管理，使其达到利用最大化。以专业为基础进行数字化教学资源的建设和组织，并实现院校级各专业的资源共建、共享、共用，实现学校软资产的不断积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2、明确资源库建立流程，分工明确：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实现数字化学习资源的标准、规范、技术、工具和方法。建立统一门户的专业资源管理系统，满足高校学生学习、专业教学的需求。完善的门户框架和逻辑清晰的使用流程，促进资源整合过程中教师分工明确。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3、对于教师用户：实现资源建设与流程管理、资源的展示、资源在线浏览、资源的下载、资源的收藏、建课时资源使用、资源评分与评论等等。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对于学生用户：实现资源在线浏览、资源搜索、资源的下载、资源的收藏、资源评分与评论等等。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对于非登录用户：实现资源搜索、浏览资源信息。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w:t>
      </w:r>
      <w:r>
        <w:rPr>
          <w:rFonts w:hint="eastAsia" w:ascii="宋体" w:hAnsi="宋体" w:eastAsia="宋体" w:cs="宋体"/>
          <w:b/>
          <w:bCs/>
          <w:color w:val="auto"/>
          <w:sz w:val="24"/>
          <w:highlight w:val="none"/>
          <w:lang w:val="en-US" w:eastAsia="zh-CN" w:bidi="ar-SA"/>
        </w:rPr>
        <w:t xml:space="preserve">▲可以将教师在网络教学平台中建好的网络课程资源直接推送至教学资源库中进行共享。也可由管理员将建好的课程，一键分解成素材，进行共享。（需提供真实系统对应功能截图或供货期内能开发出符合要求的承诺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5、系统部署</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需采用纯B/S结构，服务器端支持跨平台运行，可以支持UNIX/Linux等主流操作系统上，多数据库支持。</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6、性能要求</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平台要向全部师生开放，因此系统在稳定性、安全性、可靠性方面要有严格的保障，预期达到如下性能指标：</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同时在线用户数不少于50000人；并发用户数不少于2500人</w:t>
      </w:r>
      <w:r>
        <w:rPr>
          <w:rFonts w:hint="eastAsia" w:ascii="宋体" w:hAnsi="宋体" w:eastAsia="宋体" w:cs="宋体"/>
          <w:b w:val="0"/>
          <w:bCs w:val="0"/>
          <w:color w:val="auto"/>
          <w:sz w:val="24"/>
          <w:highlight w:val="none"/>
          <w:lang w:val="en-US" w:eastAsia="zh-CN" w:bidi="ar-SA"/>
        </w:rPr>
        <w:tab/>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响应时间：业务访问3秒以内、文档类资源3秒以内、视频类资源6秒以内</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平台必须采用提升数据访问速度的优化技术（IDC、Cache、CDN等），保障资源的访问速度和下载效率。独立的课程运行门户网站域名等信息须在ICP备案。平台服务器须设在ISP运营商的IDC机房或BGP机房，确保7*24小时不间断运行。</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7、安全要求</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资源库平台在物理安全、网络安全、主机安全、应用安全、数据安全、管理要求等方面。</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平台功能除资源（学校、专业、项目、课程资源）展示之外，更为重要的是辅助课程教学和职业素养养成，可以实现教师主导——学生主体的在线教育模式与学生多终端在线自主学习模式；也可实现课程资源的校际课程选修共享、混合式教学、教学质量监控所需。</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9、在整体技术层面，平台能够体现先进规范、安全稳定、易于使用及良好的扩展性能，符合国际、国内标准；要求和校网络教学平台等有效的集成、对接；能够满足学校各类项目的建设、申报和评审的要求；能对学校的各类多媒体教学资源进行整合管理；能够实现对学生网络自主学习的管理与质量监控。</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10、平台要求云部署，由供应商提供信息安全维护，服务期内负责平台模块升级及资源库建设服务工作。</w:t>
      </w:r>
      <w:r/>
    </w:p>
    <w:p>
      <w:pPr>
        <w:numPr>
          <w:ilvl w:val="0"/>
          <w:numId w:val="0"/>
        </w:numPr>
        <w:ind w:left="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（2）平台技术要求</w:t>
      </w:r>
      <w:r>
        <w:rPr>
          <w:rFonts w:hint="eastAsia" w:ascii="宋体" w:hAnsi="宋体" w:eastAsia="宋体" w:cs="宋体"/>
          <w:b/>
          <w:color w:val="auto"/>
          <w:sz w:val="24"/>
          <w:szCs w:val="22"/>
          <w:highlight w:val="none"/>
          <w:lang w:val="en-US" w:eastAsia="zh-CN" w:bidi="ar-SA"/>
        </w:rPr>
        <w:tab/>
      </w:r>
      <w:r>
        <w:rPr>
          <w:rFonts w:hint="eastAsia" w:ascii="宋体" w:hAnsi="宋体" w:eastAsia="宋体" w:cs="宋体"/>
          <w:b/>
          <w:color w:val="auto"/>
          <w:sz w:val="24"/>
          <w:szCs w:val="22"/>
          <w:highlight w:val="none"/>
          <w:lang w:val="en-US" w:eastAsia="zh-CN" w:bidi="ar-SA"/>
        </w:rPr>
        <w:t xml:space="preserve">  </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各专业的资源大体可分为专业级资源、课程级资源、素材级资源三级基础框架。在专业级资源和课程级资源中可以设定更多的结构，如在专业资源中拓展培训资源、行业资源等。每个专业可根据自己的特点进行灵活定制。最终达到教师能够自主管理资源，学生能够共享下载资源，并实现所有数据的整合，最终建设成一个理念领先、技术先进、国际化特色突出的资源管理平台。</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2、采用B/S结构，基于J2EE架构，页面采用Web2.0 AJAX开发，不需要另行安装插件就可以支持基于IE9及以上版本、safari、firefox、chrome等内核的浏览器。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3、支持标准化多媒体课件。支持随用户使用量的增大而只需增加相应的硬件即可。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支持Web服务器集群。具有安全策略和备份机制，可根据不同的业务要求采用不同的安全措施，保证发生故障时不影响整个系统的正常运行。提供各级数据备份机制能够定时备份数据库。具有相关策略对知识产权进行保护。</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5、不限注册用户数。</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平台详细功能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1、门户管理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平台门户管理和站点门户管理：提供充分展示学校教学特色的门户网站，实现精品资源推荐、热门资源排行、一站式检索以及学校的教学资源与课程展示。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每一个站点也拥有属于自己的门户，并且在后台可以选择站点，并且可以自定义设置门户模块。</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2、创建站点</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创建多站点：每个专业教学资源库可拥有独立一个站点，每个站点即一个专业教学资源库，平台下系统管理员登录后台后，可创建多站点，并指定某一专业负责人（教师用户），作为该站点的负责人。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站点导航与栏目：每个站点一套独立导航和栏目管理。专业教学资源库导航栏支持包括导航在内的至少5级栏目建设。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3、资源建设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（1）资源上传：支持授权上传。支持单文件上传与批量上传。</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（2）资源审核：初审与终审的二级审核。</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资源展示：独立页面，带信息、评分、评论等。进入单个资源详情中，可见到资源的展示界面，展示界面包括资源上传者、所属单位、所属专业、所属课程、关键词、资源内容简介、评论等介绍。支持多角度、多纬度的数据统计查询，对资源的下载、浏览、收藏、评论、引用次数进行统计，帮助用户准确判断资源的可用性。视频文件，上传可自动截第一帧画面作为缩略图。</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（4）资源下载：授权下载。被授权具有资源下载权限的用户可直接下载资源库中的资源。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资源在线浏览：授权浏览。被授权具有资源在线阅读权限的用户可在资源列表中，直接对感兴趣的资源进行在线阅读，增加资源的可利用性与价值。用户点击在线阅读，即可直接进入资源阅读页面，无需下载可优先查看资源详情。</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（6）资源检索：全局检索和一站式检索。 提供全局搜索功能，所有进入站点的用户可在子库基础下，按标题、关键字、上传者等标签搜索。该搜索范围为所在站点的资源数据库。</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（7）资源评分：平台登录用户可对资源进行星级评分，为其他用户提供建设性意见。同时，学校管理者可针对资源的不同评分判断资源的价值，更加准确地管理资源。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（8）资源评论：登录用户可对资源进行评价，提供自己的意见或建议，帮助其他用户判断资源价值的同时为学校提供可建设性资源管理意见。</w:t>
      </w:r>
      <w:r/>
    </w:p>
    <w:p>
      <w:pPr>
        <w:ind w:firstLine="482"/>
        <w:spacing w:line="360" w:lineRule="auto"/>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9）资源收藏：登录用户可将自己在教学资源库中发现的比较好的资源收藏到个人空间中方便自己随用随取。用户可自主收藏优质资源。（需提供真实系统对应功能截图或供货期内能开发出符合要求的承诺函）</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（10）资源互通：教师用户可将教学资源库中的资源添加至自己的网络课程的共享资料中，也可以将资源直接推送到课程某个章节中，用于课程教学使用。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课程建设者可通过系统推荐或者自行检索将教学资源库中的资源引用到网络课程章节中，并可以设置成为任务点，丰富课程资源；网络教学平台中的课程资源，也可推送至教学资源库中进行共享，最终达到教学资源库和网络教学平台双向互通</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（11）资源类型与文件格式：平台资源类型与格式的设置。理论上，主流文件格式均支持上传。可支持在线阅读的全部格式：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视频格式支持"rmvb", "3gp","mpg","mov", "wmv","avi", "mkv","mp4", "flv", "vob","mpeg", "f4v"</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音频格式支持"aac", "ac3", "aif", "amr", "ape", "flac", "m4a","m4r", "mka","mid", "mmf","mpa", "mpc", "ogg", "pcm","mp3", "ra","tta", "voc", "wav", "wv", "wma"文档格式支持"doc", "pdf", "docx", "ppt", "pptx"</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图片格式支持 "gif", "bmp","png","jpg","jpeg"</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资源审核</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指派：专业负责人-&gt;二级栏目负责人-&gt;栏目参建人</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审核：栏目参建人提交初审-&gt;二级栏目负责人提交终审-&gt;专业负责人终审通过发布至站点。专业负责人、二级栏目负责人、栏目参建人登录平台后，在其权限范围内，可批量添加栏目负责人，批量添加功能可为栏目管理者减轻工作量，方便栏目管理工作的开展。</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教学资源库内置资源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提供给教师资源库建设、备课、制作网络课程等工作中随时需要查阅、引用的资源，需整合中高职层次院校，各学科、专业的示范教学包资源，教师可以在专业教学资源库建设中随时引用课程资源、课堂活动示例、题库等内容，根据教师自己课程的需要进行重新组合使用。提供可供学校直接引用的课程数量不少于300 门。</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备课资源库中需要具有电子图书和学术视频，教师可以直接添加备课资源库中的资源到教学资源库中。备课资源库也可以与网络教学平台无缝对接，教师在使用网络教学平台进行课程建设、备课、授课过程中随时可以搜索、引用、插入备课资源库中的资源。</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后台管理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后台管理应包括：平台门户管理、信息管理、站点管理、资源管理、角色权限管理、统计分析等。后台管理员可对平台的前台门户、站点及资源进行管理，管理员建立相关站点并可对上传资源进行查看和删除等工作。管理员可以统计资源库使用的详细数据信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系统管理员对前台门户进行设置管理。每个站点门户管理员都支持自建门户网站，页面支持用户自定义模块布局，支持拖拽式调整同一模块内不同栏目的位置，支持用户自定义对页面背景、音乐、主题色及简体或繁体字的转换设置。</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（2）系统管理员可在后台建立站点，并指定站点负责人进行站点管理。</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（3）专业教学资源库每个站点都是完整的一套网站，在后台管理中，系统管理员可对每个站点关于导航栏、栏目进行自定义增加，并且根据时间随时修改门户主要题色。</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（4）系统管理员可对已上传的资源进行查看，并对不合适的资源进行删除。为了防止多删、误删等情况，系统设置资源回收站，可对错删的资源找回。</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（5）系统管理员可对教师、学生、企业、游客及社会用户设置不同平台权限，使平台管理个性化。</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（6）后台管理员可以查看资源库的基本数据统计、使用情况统计、引用统计，包括所有站点的资源总量、存储总量、访问总量等；</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管理员可以查看资源库的用户使用详情统计，包括资源的浏览次数（PV）、访问IP数、点击总次数、累计使用小时数、交流互动总次数、用户身份分布、活跃度，详细信息如收藏资源数、引用资源数、浏览资源数、下载资源数、评论资源数等内容；日志统计、课程统计、教学统计、学习统计等。</w:t>
      </w:r>
      <w:r/>
    </w:p>
    <w:p>
      <w:pPr>
        <w:numPr>
          <w:ilvl w:val="4"/>
          <w:numId w:val="5"/>
        </w:numPr>
        <w:ind w:firstLine="403"/>
        <w:jc w:val="both"/>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4"/>
      </w:pPr>
      <w:r>
        <w:rPr>
          <w:rFonts w:hint="eastAsia" w:ascii="宋体" w:hAnsi="宋体" w:eastAsia="宋体" w:cs="宋体"/>
          <w:b/>
          <w:color w:val="auto"/>
          <w:sz w:val="24"/>
          <w:szCs w:val="22"/>
          <w:highlight w:val="none"/>
          <w:lang w:val="en-US" w:eastAsia="zh-CN" w:bidi="ar-SA"/>
        </w:rPr>
        <w:t xml:space="preserve">移动端</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（1）通知：可以在移动客户端选择给指定的人发送通知，并统计已读和未读名单。并与pc端无缝对接。针对未读通知，支持短信提醒、电话提醒、微信提醒等提醒方式。</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（2）移动端资源引用：移动客户端中，教师可以在课堂教学中引用教学资源库中的资源，在教案中引入PPT，可以在课程章节中导入教学资源库素材资源，可以在作业或者考试中引用教学资源题库资源。</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（3）可以阅读本校师生制作的专题等资源，也可以阅读海量电子图书、报纸、期刊等资源，可以订阅到自己的空间，并进行分类管理；可以对所有精彩的内容进行分享。</w:t>
      </w:r>
      <w:r/>
    </w:p>
    <w:p>
      <w:p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4）移动直播：支持手机端发起视频直播，学生可以通过手机观看直播并留言，支持设置直播视频是否允许回看，支持主播开启美颜和滤镜功能，支持为直播内容点赞，支持分享到笔记、小组、消息、信函、课程等。支持分享直播内容到第三方应用，如微信、qq。</w:t>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教师课程引用资源中心</w:t>
      </w:r>
      <w:r/>
    </w:p>
    <w:p>
      <w:pPr>
        <w:ind w:firstLine="480"/>
        <w:jc w:val="left"/>
        <w:spacing w:after="160" w:line="278"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1、提供不少 3000 门能可被引用和编辑的课程资源，支持教师进行混合式教学课程建设，满足教师教学和学生学习过程中的各种需求，减轻教师课前、课中、课后的教学压力和工作量，包含所需的课件、章节知识、音视频、动画、拓展资料、作业题库、考试题库等资源，教师可修改、可使用；</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2、提供可引用或参考的课程思政资源模块，支持在线课程编辑时插入课程思政资源，支持根据课程所属专业类别、课程思政主题筛选。</w:t>
      </w:r>
      <w:r/>
    </w:p>
    <w:p>
      <w:pPr>
        <w:ind w:firstLine="480"/>
        <w:jc w:val="center"/>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大数据看板</w:t>
      </w:r>
      <w:r/>
    </w:p>
    <w:p>
      <w:pPr>
        <w:numPr>
          <w:ilvl w:val="0"/>
          <w:numId w:val="25"/>
        </w:num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线上教学大数据看板（不少于2张，包括但不仅限于：线上课程统计、活跃院系、资源统计）</w:t>
      </w:r>
      <w:r/>
    </w:p>
    <w:p>
      <w:pPr>
        <w:numPr>
          <w:ilvl w:val="0"/>
          <w:numId w:val="25"/>
        </w:num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资产统计大数据看板</w:t>
      </w:r>
      <w:r/>
    </w:p>
    <w:p>
      <w:pPr>
        <w:numPr>
          <w:ilvl w:val="0"/>
          <w:numId w:val="25"/>
        </w:num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科研数据大数据看板</w:t>
      </w:r>
      <w:r/>
    </w:p>
    <w:p>
      <w:pPr>
        <w:numPr>
          <w:ilvl w:val="0"/>
          <w:numId w:val="25"/>
        </w:num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招生大数据看板</w:t>
      </w:r>
      <w:r/>
    </w:p>
    <w:p>
      <w:pPr>
        <w:numPr>
          <w:ilvl w:val="0"/>
          <w:numId w:val="25"/>
        </w:num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迎新大数据看板</w:t>
      </w:r>
      <w:r/>
    </w:p>
    <w:p>
      <w:pPr>
        <w:numPr>
          <w:ilvl w:val="0"/>
          <w:numId w:val="25"/>
        </w:numPr>
        <w:ind w:firstLine="480"/>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图书流通大数据看板</w:t>
      </w:r>
      <w:r/>
    </w:p>
    <w:p>
      <w:pPr>
        <w:numPr>
          <w:ilvl w:val="2"/>
          <w:numId w:val="5"/>
        </w:numPr>
        <w:ind w:firstLine="489"/>
        <w:jc w:val="left"/>
        <w:keepLines/>
        <w:keepNext/>
        <w:spacing w:before="130" w:after="130" w:line="360"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AI智能体系统</w:t>
      </w:r>
      <w:r/>
    </w:p>
    <w:p>
      <w:pPr>
        <w:numPr>
          <w:ilvl w:val="3"/>
          <w:numId w:val="5"/>
        </w:numPr>
        <w:ind w:firstLine="482"/>
        <w:jc w:val="left"/>
        <w:keepLines/>
        <w:keepNext/>
        <w:spacing w:before="40" w:beforeAutospacing="0" w:after="50" w:afterAutospacing="0" w:line="372" w:lineRule="auto"/>
        <w:widowControl w:val="off"/>
        <w:rPr>
          <w:rFonts w:hint="eastAsia" w:ascii="宋体" w:hAnsi="宋体" w:eastAsia="宋体" w:cs="宋体"/>
          <w:b/>
          <w:color w:val="auto"/>
          <w:sz w:val="24"/>
          <w:szCs w:val="22"/>
          <w:highlight w:val="none"/>
          <w:lang w:val="en-US" w:eastAsia="zh-CN" w:bidi="ar-SA"/>
        </w:rPr>
        <w:outlineLvl w:val="3"/>
      </w:pPr>
      <w:r>
        <w:rPr>
          <w:rFonts w:hint="eastAsia" w:ascii="宋体" w:hAnsi="宋体" w:eastAsia="宋体" w:cs="宋体"/>
          <w:b/>
          <w:color w:val="auto"/>
          <w:sz w:val="24"/>
          <w:szCs w:val="22"/>
          <w:highlight w:val="none"/>
          <w:lang w:val="en-US" w:eastAsia="zh-CN" w:bidi="ar-SA"/>
        </w:rPr>
        <w:t xml:space="preserve">智能体生成平台</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为学校提供智能体建设平台，学校的超级管理员、智能体创建管理员角色、或指定角色可创建、删除智能体，删除的智能体需具备回收站功能，能够查看删除记录及恢复。</w:t>
      </w:r>
      <w:r/>
    </w:p>
    <w:p>
      <w:pPr>
        <w:numPr>
          <w:ilvl w:val="0"/>
          <w:numId w:val="26"/>
        </w:numPr>
        <w:ind w:firstLine="482"/>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▲建设智能体时需支持选择单Agent模式和多Agenst模式，多 Agents可以将多个智能体组装为统一入口的智能体，用户交互通过一个智能体完成。（需提供真实系统对应功能截图或供货期内能开发出符合要求的承诺函）</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创建智能体需支持自定义智能体名称、描述、标题、头像属性。</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需支持设置智能体的管理角色。管理角色授权后可对智能体进行编辑管理。</w:t>
      </w:r>
      <w:r/>
    </w:p>
    <w:p>
      <w:pPr>
        <w:numPr>
          <w:ilvl w:val="0"/>
          <w:numId w:val="26"/>
        </w:numPr>
        <w:ind w:firstLine="482"/>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▲智能体需包含基础调试、资源管理、大模型、基础设置、接入渠道、数据统计、导出中心、操作日志核心功能。（需提供真实系统对应功能截图或供货期内能开发出符合要求的承诺函）</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基础调试可在同一页面进行智能体参数调试和效果测试，可看到测试问题的回复时间和 token 消耗数。</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需支持设定智能体提示词，支持AI帮写智能体提示词和基于已有提示词进行AI润色。支持提示词库，提供系统推荐提示词和个人提示词，可以保存个人提示词。</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对智能体接入的大模型进行管理，可设置默认接入的大模型。可设置当资源中无对应答案时，由大模型直接回复还是用户确认是否由大模型回复。可设置开启联网搜索、开启大模型兜底回复、开启前台用户附件上传功能。</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技能设置：支持对智能体技能进行启停配置，如文献传递问答、微应用推荐、用户问题推荐、问题联想、资源应用推荐、回复翻译技能开关</w:t>
      </w:r>
      <w:r/>
    </w:p>
    <w:p>
      <w:pPr>
        <w:numPr>
          <w:ilvl w:val="0"/>
          <w:numId w:val="26"/>
        </w:num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开启文献传递后可回复相关的图书、文献，并支持在线阅读，且阅读内容无版权纷争。</w:t>
      </w:r>
      <w:r/>
    </w:p>
    <w:p>
      <w:pPr>
        <w:numPr>
          <w:ilvl w:val="0"/>
          <w:numId w:val="26"/>
        </w:numPr>
        <w:ind w:firstLine="482"/>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shd w:val="clear" w:color="auto" w:fill="ffffff"/>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智能体具备我的知识库、AI 知识库，AI 知识库包括单位 AI 知识库、公共 AI 知识库、知识库集。智能体管理者可以从AI能力中心建设的单位AI知识库、订阅的公共AI知识库、订阅的知识库集里勾选挂接到当前智能体，以实现知识库的复用。（需提供真实系统对应功能截图或供货期内能开发出符合要求的承诺函）</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问答库需支持管理员进行问答对管理，包括手动录入、批量导入、批量启用、批量停用、批量移动功能。支持对问答库进行分类管理。支持对分类进行批量删除。</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添加问答对需支持录入标准问题、相似问题，回复内容需支持富文本类型；富文本需支持插入图片、链接、附件、表格、引用、高亮块、代码块、字体、序列、对齐方式；支持导入通过导入 Word、PDF 的方式将内容导入到答案中。</w:t>
      </w:r>
      <w:r/>
    </w:p>
    <w:p>
      <w:pPr>
        <w:numPr>
          <w:ilvl w:val="0"/>
          <w:numId w:val="26"/>
        </w:numPr>
        <w:ind w:firstLine="48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添加问答对需支持录入问题、答案及附件，回复内容需支持富文本类型;富文本需支持插入图片、外链、附件、表格、引用、高亮块、代码块、链接、字体、序列、对齐方式。</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提供任务流管理功能，需支持管理员为智能体自建任务流。支持根据提示词自动生成任务流。任务流通过触发问题和相似问题触发，可以更加精准的命中，同时支持词槽提取和追问。</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任务流需支持多样的节点插件，包括：大模型生成、调用知识库、调用长期记忆、输入、输出、应用、嵌入、文本处理、大模型变量赋值、调用任务流、调用插件、视频抽帧、问答、静态选项、动态选项、条件选择器、意图识别、批处理、循环调用、调用代码、变量聚合、新增表单数据、删除表单数据、查询表单数据、更新表单数据、表单检索、查询数据库。节点能够进行串联、并联，通过任务规划让智能体能够在业务场景中落地应用。</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部分节点插件需满足以下功能要求：</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1）知识库节点：可以从智能体的知识库、单位AI知识库、公共AI知识库调用选定的知识库进行答复。知识库输入输出内容支持自定义参数值：搜索策略包括混合、全文、语义理解；支持最大召回数量设定，最小匹配度设定。根据输入变量从知识库召回最匹配的信息，并以列表形式返回；同时也可同步将查询的自然语言转为 SQL 语句进行查询；SQL 执行结果与 RAG 召回段落一同输入给模型。</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（2）输入节点：支持用户在对话过程中输入变量，可输入文本、整数、布尔值、数值、数组、文件变量，文件支持输入图片、文档、excel、ppt、txt、zip类型。</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（3）长期记忆：可调用系统的长期记忆，获取用户的个性化信息。</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（4）嵌入节点：支持使用iframe地址和动态指令嵌入内容。</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大模型变量赋值：利用大模型提示词功能进行参数提取、赋值。需支持设定选择利用哪个大模型进行节点执行，支持设定大模型人设、提示词、Temperature设置。可将大模型输出参数的内容赋值到其他节点进行使用。大模型变量赋值的输出节点可自定义变量名、变量类型、变量描述。</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（6）动态选项：支持中间向用户提问选项，可配合插件功能进行接口调用，为用户输出动态选项；动态选项需支持能够绑定数组，并且可设定该节点智能体动态提问的内容。</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条件选择器节点：根据设定的条件，连接多个下游分支，若设定的条件成立则仅运行对应的分支，若均不成立则只运行“否则”分支；支持自定义添加多个条件分支，条件包括引用变量、选择条件、比较值内容设定，多个条件支持或且关系设定。</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（8）代码节点：需支持编写代码，允许使用该节点已定义的变量作为参数传入，返回语句用于输出函数的结果；输入输出变量可进行自定义添加，包括变量名称、变量值，提供代码编写框可在线进行编辑。</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任务流提供预设的实体类型，包括但不限于名字、地方、机构、国家、省份、城市、图书、区县、数字编号、手机号、身份证号、电子邮箱、QQ号、ip、URL、时间、年、月、日期、航班号、航班座位号。</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任务流需支持模拟试运行，试运行提供交互页面可模拟执行。</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智能体的数据源管理</w:t>
      </w:r>
      <w:r>
        <w:rPr>
          <w:rFonts w:hint="eastAsia" w:ascii="宋体" w:hAnsi="宋体" w:eastAsia="宋体" w:cs="宋体"/>
          <w:color w:val="auto"/>
          <w:sz w:val="24"/>
          <w:szCs w:val="24"/>
          <w:highlight w:val="none"/>
          <w:lang w:val="en-US" w:eastAsia="zh-CN" w:bidi="ar-SA"/>
        </w:rPr>
        <w:t xml:space="preserve">支持创建表单，并将表单作为数据源对接进智能体参与回复。创建表单</w:t>
      </w:r>
      <w:r>
        <w:rPr>
          <w:rFonts w:hint="eastAsia" w:ascii="宋体" w:hAnsi="宋体" w:eastAsia="宋体" w:cs="宋体"/>
          <w:color w:val="auto"/>
          <w:sz w:val="24"/>
          <w:szCs w:val="24"/>
          <w:highlight w:val="none"/>
          <w:lang w:val="en-US" w:eastAsia="zh-Hans" w:bidi="ar-SA"/>
        </w:rPr>
        <w:t xml:space="preserve">提供丰富的字段库，不少于20个表单控件。</w:t>
      </w:r>
      <w:r>
        <w:rPr>
          <w:rFonts w:hint="eastAsia" w:ascii="宋体" w:hAnsi="宋体" w:eastAsia="宋体" w:cs="宋体"/>
          <w:color w:val="auto"/>
          <w:sz w:val="24"/>
          <w:szCs w:val="24"/>
          <w:highlight w:val="none"/>
          <w:lang w:val="en-US" w:eastAsia="zh-CN" w:bidi="ar-SA"/>
        </w:rPr>
        <w:t xml:space="preserve">控件可以拖拽的方式添加、排序；</w:t>
      </w:r>
      <w:r>
        <w:rPr>
          <w:rFonts w:hint="eastAsia" w:ascii="宋体" w:hAnsi="宋体" w:eastAsia="宋体" w:cs="宋体"/>
          <w:color w:val="auto"/>
          <w:sz w:val="24"/>
          <w:szCs w:val="24"/>
          <w:highlight w:val="none"/>
          <w:lang w:val="en-US" w:eastAsia="zh-Hans" w:bidi="ar-SA"/>
        </w:rPr>
        <w:t xml:space="preserve">可使用字段包括：单行输入、多行输入、数字输入、滑动条、评分、说明文字、单选、下拉框、下拉复选、多级下拉、日期、日期区间、图片、视频、附件、联系人、部门、子表单、富文本、计算公式、自动编号、图片单选、图片多选、矩阵单选、矩阵多选、按钮、选择数据、直播、定位、地址、手写签名、数据所属人。</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支持录入自定义插件，可输入插件名称、插件地址、插件描述，插件地址支持 get、post 两种方式，通过设置插件请求头、请求参数、输出参数完成插件配置。</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系统提供公共插件供用户选择，包括 word 导出、生成图表、地图工具、发送邮件、excel 导出、ppt 生成、获取任务流外部历史消息记录、网页解析、AI 输入改写、文本翻译、文生图、发言稿、回复消息、回复邮件、思想汇报、生成大纲、教案生成、简历、宣传文案、作文、成语解释、文档解析、任务流倒计时、图生图、AI续写、AI精简、AI润色、AI扩写、AI文本纠错、图片OCR识别、城市天气预报、联网搜索、AI文本纠错、城市天气预报。</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支持通过MCP服务的标准接口规范，自主添加MCP服务。支持手动创建MCP服务和从 JSON 导入 MCP 服务。</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系统提供公共MCP服务供用户选择，能提供网页解析、联网搜索、图片OCR、天气预报、办公写作、教育教学、工作汇报、文案助手。</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可设置前台用户能切换大模型；可选择智能体所接入的大模型能力，要求大模型能力包含：文心一言、moonshot、doubao、deepseek v3、deepseek R1、通义千问国内较主流大模型能力。支持与学校本地大模型进行对接。</w:t>
      </w:r>
      <w:r/>
    </w:p>
    <w:p>
      <w:pPr>
        <w:numPr>
          <w:ilvl w:val="0"/>
          <w:numId w:val="26"/>
        </w:numPr>
        <w:ind w:firstLine="48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对话界面配置：需支持对智能体的用户交互端进行配置，包括智能体头像、logo、卡通数字人形象、欢迎语、通知公告、常见问题、热门应用、背景、起始页、免责声明内容，支持管理员进行配置设定。</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支持在对话页面以iframe形式嵌入网页模块，以实现智能体对话页面的丰富。</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支持对话页面添加顶部标签，通过选择不同标签后进行任务切换后发起对话。标签需支持设置名称、描述、选择内容类型。内容类型需支持嵌入ifame页面和绑定任务流。标签需支持排序、启停设置。</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系统提供不少于10种数字人形象供用户选择，也支持自定义上传形象。可设置多个数字人，用户在前台自行选择喜欢的数字人。至少提供10种虚拟形象声音。</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需支持开启对话页面水印。水印样式包括单排水印和多排水印。界面需支持简体中文、繁体中文、英文模式。</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可设置访客端展示AI知识库，使用者可选择指定知识库定向回答。</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设置访客端开启快捷技能。可添加自定义技能，自定义技能包括任务流、快捷指令、插件、大模型提示词、自建应用。系统预设一批内置技能供开启，内置技能分类包括办公助手、创意写作、实用工具、趣味文案，技能包括思维导图、成语解释、简历助手、教案生成、大纲生成、思想汇报、回复邮件、回复信息、发言稿件、作文写作、AI 扩写、AI 润色、AI 精简、AI 续写、文本翻译、文生图、PPT生成、文档解析、天气预报、图片 OCR、朋友圈文案、小红书文案、宣传文案、拍照搜题、学术问答。</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接入渠道管理：支持对智能体接入渠道进行管理，包括生成web网页嵌入链接、网页 SDK 嵌入代码，网页 SDK 接入至少支持新页面打开智能体、当前页侧拉打卡对话页、嵌入网页问答三种模式。支持和微信公众号对接，经微信公众号管理员授权后，可以在微信公众号聊天里直接和智能体对话。</w:t>
      </w:r>
      <w:r/>
    </w:p>
    <w:p>
      <w:pPr>
        <w:numPr>
          <w:ilvl w:val="0"/>
          <w:numId w:val="26"/>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智能体需支持完整的数据统计功能，需包含 历史会话、探索模式会话、访客统计、问答统计、人工统计。历史会话支持时间段、访客姓名、会话 id 筛选会话内容，支持导出会话数据。导出格式支持会话维度的表单、消息维度的表单、JSON 格式、MD 格式。</w:t>
      </w:r>
      <w:r/>
    </w:p>
    <w:p>
      <w:pPr>
        <w:numPr>
          <w:ilvl w:val="3"/>
          <w:numId w:val="5"/>
        </w:numPr>
        <w:ind w:firstLine="482"/>
        <w:jc w:val="left"/>
        <w:keepLines/>
        <w:keepNext/>
        <w:pageBreakBefore w:val="0"/>
        <w:spacing w:before="40" w:beforeAutospacing="0" w:after="50" w:afterAutospacing="0" w:line="360" w:lineRule="auto"/>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AI工具平台</w:t>
      </w:r>
      <w:r/>
    </w:p>
    <w:p>
      <w:pPr>
        <w:numPr>
          <w:ilvl w:val="0"/>
          <w:numId w:val="0"/>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1.基于大模型能力为师生提供易用的智能体工具，形成学校AI工具市场。支持新增AI工具、支持对工具进行分类、排序、上下架管理。</w:t>
      </w:r>
      <w:r/>
    </w:p>
    <w:p>
      <w:pPr>
        <w:numPr>
          <w:ilvl w:val="0"/>
          <w:numId w:val="0"/>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供PPT生成工具：支持标题、文本、大纲、文档四种方式进行PPT快速生成，支持设置PPT页数限制、受众类型、场景类型、PPT文本语气信息，工具平台可自动生成PPT大纲，用户可进行二次编辑，确认无误后选择PPT模版，实现PPT自动创建。</w:t>
      </w:r>
      <w:r/>
    </w:p>
    <w:p>
      <w:pPr>
        <w:numPr>
          <w:ilvl w:val="0"/>
          <w:numId w:val="0"/>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3.AI工具支持本平台自带和第三方工具，本平台自带(与AI能力应用平台同厂商)的工具不少于10个。提供AI工具建设服务，建设不少于5个便捷实用的AI工具:</w:t>
      </w:r>
      <w:r/>
    </w:p>
    <w:p>
      <w:pPr>
        <w:numPr>
          <w:ilvl w:val="0"/>
          <w:numId w:val="0"/>
        </w:numPr>
        <w:ind w:firstLine="482"/>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提供AI数据分析工具：支持用户上传Excel表数据或者链接数据库，选定数据表后可基于数据进行自然语言问答，工具可将分析任务拆解为不同步骤，最终生成可视化分析图表。（需提供真实系统对应功能截图或供货期内能开发出符合要求的承诺函）</w:t>
      </w:r>
      <w:r/>
    </w:p>
    <w:p>
      <w:pPr>
        <w:numPr>
          <w:ilvl w:val="0"/>
          <w:numId w:val="0"/>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AI绘图工具：支持用户输入画面描述、选择画面风格、图片大小、生成数量，工具将基于大模型能力自动生成符合的图片，支持批量下载。</w:t>
      </w:r>
      <w:r/>
    </w:p>
    <w:p>
      <w:pPr>
        <w:numPr>
          <w:ilvl w:val="3"/>
          <w:numId w:val="5"/>
        </w:numPr>
        <w:ind w:firstLine="482"/>
        <w:jc w:val="left"/>
        <w:keepLines/>
        <w:keepNext/>
        <w:pageBreakBefore w:val="0"/>
        <w:spacing w:before="40" w:beforeAutospacing="0" w:after="50" w:afterAutospacing="0" w:line="360" w:lineRule="auto"/>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平台设置</w:t>
      </w:r>
      <w:r/>
    </w:p>
    <w:p>
      <w:pPr>
        <w:numPr>
          <w:ilvl w:val="0"/>
          <w:numId w:val="27"/>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可设置 前台门户的名称、LOGO、简介、文字颜色，设置显示登录按钮；可设置前台主题色、可设置浏览器标签名称、ICON；可设置前台首页轮播图，轮播图支持图片、视频，可设置轮播图跳转链接；可设置首页栏目名称，可设置首页智能体展示区屏蔽当前用户无权限访问的智能体。</w:t>
      </w:r>
      <w:r/>
    </w:p>
    <w:p>
      <w:pPr>
        <w:numPr>
          <w:ilvl w:val="0"/>
          <w:numId w:val="27"/>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自定义门户配置</w:t>
      </w:r>
      <w:r/>
    </w:p>
    <w:p>
      <w:pPr>
        <w:numPr>
          <w:ilvl w:val="0"/>
          <w:numId w:val="28"/>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需支持自定义用户端门户样式，支持新增多套门户。</w:t>
      </w:r>
      <w:r/>
    </w:p>
    <w:p>
      <w:pPr>
        <w:numPr>
          <w:ilvl w:val="0"/>
          <w:numId w:val="28"/>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提供不少于4个的门户模版，支持快速复用门户模版，可自定义门户名称、域名；支持配置门户模版内容。</w:t>
      </w:r>
      <w:r/>
    </w:p>
    <w:p>
      <w:pPr>
        <w:numPr>
          <w:ilvl w:val="0"/>
          <w:numId w:val="28"/>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配置方式需采用组件化可拖拽配置方式，需内置布局组件、文本、按钮、图片、图标、图文列表、轮播图、登录框、导航菜单、3D轮播组件，管理员可将组件添加至门户布局中。</w:t>
      </w:r>
      <w:r/>
    </w:p>
    <w:p>
      <w:pPr>
        <w:numPr>
          <w:ilvl w:val="0"/>
          <w:numId w:val="28"/>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可配置组件样式、位置、排列方式、背景、边框属性。支持配置组件的页面动画效果，包括滚动时、页面加载时、鼠标划过和鼠标点击时。</w:t>
      </w:r>
      <w:r/>
    </w:p>
    <w:p>
      <w:pPr>
        <w:numPr>
          <w:ilvl w:val="0"/>
          <w:numId w:val="28"/>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支持配置组件数据源，支持自定义数据源和本地固定数据。</w:t>
      </w:r>
      <w:r/>
    </w:p>
    <w:p>
      <w:pPr>
        <w:numPr>
          <w:ilvl w:val="0"/>
          <w:numId w:val="28"/>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支持设定页面版心高度、主题色、背景、背景音乐、整屏切换效果。</w:t>
      </w:r>
      <w:r/>
    </w:p>
    <w:p>
      <w:pPr>
        <w:numPr>
          <w:ilvl w:val="0"/>
          <w:numId w:val="28"/>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可设定门户管理员，可针对不同管理员授权菜单和模块权限。</w:t>
      </w:r>
      <w:r/>
    </w:p>
    <w:p>
      <w:pPr>
        <w:numPr>
          <w:ilvl w:val="0"/>
          <w:numId w:val="28"/>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可一键下线门户，可一键置灰门户。</w:t>
      </w:r>
      <w:r/>
    </w:p>
    <w:p>
      <w:pPr>
        <w:numPr>
          <w:ilvl w:val="0"/>
          <w:numId w:val="27"/>
        </w:numPr>
        <w:ind w:firstLine="48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智能体可设置上架、下架状态，经管理员上架后，可以显示在前台门户。可以挂接外部第三方智能体，显示在前台门户。支持对智能体进行排序。</w:t>
      </w:r>
      <w:r/>
    </w:p>
    <w:p>
      <w:pPr>
        <w:numPr>
          <w:ilvl w:val="0"/>
          <w:numId w:val="27"/>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支持对智能体进行分类管理，支持自定义添加分类，分类排序。智能体分类显示在前台门户上。</w:t>
      </w:r>
      <w:r/>
    </w:p>
    <w:p>
      <w:pPr>
        <w:numPr>
          <w:ilvl w:val="0"/>
          <w:numId w:val="27"/>
        </w:numPr>
        <w:ind w:firstLine="48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智能体审核管理，智能体必须通过单位超级管理员审核后，方可被普通用户使用；未审核的智能体只能被管理团队使用。</w:t>
      </w:r>
      <w:r/>
    </w:p>
    <w:p>
      <w:pPr>
        <w:numPr>
          <w:ilvl w:val="0"/>
          <w:numId w:val="27"/>
        </w:numPr>
        <w:ind w:firstLine="48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工作台权限设置，可授予所有用户、指定某些角色用户在个人工作台有创建智能体权限、创建团队权限。</w:t>
      </w:r>
      <w:r/>
    </w:p>
    <w:p>
      <w:pPr>
        <w:numPr>
          <w:ilvl w:val="0"/>
          <w:numId w:val="27"/>
        </w:numPr>
        <w:ind w:firstLine="48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单位智能体模板管理，支持把智能体发布到单位智能体模板市场，用户可从单位智能体模板市场复制智能体供自己编辑使用。</w:t>
      </w:r>
      <w:r/>
    </w:p>
    <w:p>
      <w:pPr>
        <w:numPr>
          <w:ilvl w:val="0"/>
          <w:numId w:val="27"/>
        </w:numPr>
        <w:ind w:firstLine="48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智能体前台门户可以记录用户最近点击的智能体、AI工具，可以收藏智能体、AI 工具。</w:t>
      </w:r>
      <w:r/>
    </w:p>
    <w:p>
      <w:pPr>
        <w:numPr>
          <w:ilvl w:val="0"/>
          <w:numId w:val="27"/>
        </w:numPr>
        <w:ind w:firstLine="48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个人工作台，用户可以在个人工作台中查看自己收藏的智能体和AI工具。用户可以在个人工作台创建智能体、创建知识库、创建并管理团队。可在个人工作台浏览单位智能体模板市场，并复制智能体到我的智能体。</w:t>
      </w:r>
      <w:r/>
    </w:p>
    <w:p>
      <w:pPr>
        <w:numPr>
          <w:ilvl w:val="0"/>
          <w:numId w:val="27"/>
        </w:numPr>
        <w:ind w:firstLine="48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可在单位智能体模板市场提交本人创建的智能体。管理员审核通过后可显示在模板市场供其他人使用。</w:t>
      </w:r>
      <w:r/>
    </w:p>
    <w:p>
      <w:pPr>
        <w:numPr>
          <w:ilvl w:val="0"/>
          <w:numId w:val="27"/>
        </w:numPr>
        <w:ind w:firstLine="48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支持共建团队，可以创建多个团队，可以添加本单位的用户进我的团队，可以添加智能体、知识库进我的团队，团队成员可以一起管理团队的智能体、知识库。</w:t>
      </w:r>
      <w:r/>
    </w:p>
    <w:p>
      <w:pPr>
        <w:numPr>
          <w:ilvl w:val="3"/>
          <w:numId w:val="5"/>
        </w:numPr>
        <w:ind w:firstLine="482"/>
        <w:jc w:val="left"/>
        <w:keepLines/>
        <w:keepNext/>
        <w:pageBreakBefore w:val="0"/>
        <w:spacing w:before="40" w:beforeAutospacing="0" w:after="50" w:afterAutospacing="0" w:line="360" w:lineRule="auto"/>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智能体交互问答前端：</w:t>
      </w:r>
      <w:r/>
    </w:p>
    <w:p>
      <w:pPr>
        <w:numPr>
          <w:ilvl w:val="0"/>
          <w:numId w:val="29"/>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支持进行语言切换，支持切换简体中文、繁体中文、英文。</w:t>
      </w:r>
      <w:r/>
    </w:p>
    <w:p>
      <w:pPr>
        <w:numPr>
          <w:ilvl w:val="0"/>
          <w:numId w:val="29"/>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支持切换探索模式</w:t>
      </w:r>
      <w:r/>
    </w:p>
    <w:p>
      <w:pPr>
        <w:numPr>
          <w:ilvl w:val="0"/>
          <w:numId w:val="29"/>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支持修改、删除本人的长期记忆数据。</w:t>
      </w:r>
      <w:r/>
    </w:p>
    <w:p>
      <w:pPr>
        <w:numPr>
          <w:ilvl w:val="0"/>
          <w:numId w:val="29"/>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支持发送文件给智能体进行问答交互。</w:t>
      </w:r>
      <w:r/>
    </w:p>
    <w:p>
      <w:pPr>
        <w:numPr>
          <w:ilvl w:val="0"/>
          <w:numId w:val="29"/>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对于大模型生成的回复内容需进行来源标识，用户可查看具体来源依据。</w:t>
      </w:r>
      <w:r/>
    </w:p>
    <w:p>
      <w:pPr>
        <w:numPr>
          <w:ilvl w:val="0"/>
          <w:numId w:val="29"/>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回复的内容支持图片下载、pdf下载、doc下载、ppt下载。</w:t>
      </w:r>
      <w:r/>
    </w:p>
    <w:p>
      <w:pPr>
        <w:numPr>
          <w:ilvl w:val="0"/>
          <w:numId w:val="29"/>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支持用户前台切换问答大模型、勾选联网搜索。</w:t>
      </w:r>
      <w:r/>
    </w:p>
    <w:p>
      <w:pPr>
        <w:numPr>
          <w:ilvl w:val="0"/>
          <w:numId w:val="29"/>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支持用户快速切换人工服务，人工服务未有客服在线时可提交留言，需支持文件内容上传。</w:t>
      </w:r>
      <w:r/>
    </w:p>
    <w:p>
      <w:pPr>
        <w:numPr>
          <w:ilvl w:val="0"/>
          <w:numId w:val="29"/>
        </w:num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多终端支持：需具备平台兼容性，可在客户微信公众号、APP、小程序、电脑端快捷接入使用。</w:t>
      </w:r>
      <w:r/>
    </w:p>
    <w:p>
      <w:pPr>
        <w:numPr>
          <w:ilvl w:val="0"/>
          <w:numId w:val="5"/>
        </w:numPr>
        <w:ind w:firstLine="0"/>
        <w:jc w:val="both"/>
        <w:keepLines/>
        <w:keepNext/>
        <w:spacing w:before="100" w:beforeAutospacing="0" w:after="90" w:afterAutospacing="0" w:line="360" w:lineRule="auto"/>
        <w:widowControl w:val="off"/>
        <w:rPr>
          <w:rFonts w:hint="eastAsia" w:ascii="宋体" w:hAnsi="宋体" w:eastAsia="宋体" w:cs="宋体"/>
          <w:b/>
          <w:color w:val="auto"/>
          <w:sz w:val="32"/>
          <w:szCs w:val="22"/>
          <w:highlight w:val="none"/>
          <w:lang w:val="en-US" w:eastAsia="zh-CN" w:bidi="ar-SA"/>
        </w:rPr>
        <w:outlineLvl w:val="0"/>
      </w:pPr>
      <w:r>
        <w:rPr>
          <w:rFonts w:hint="eastAsia" w:ascii="宋体" w:hAnsi="宋体" w:eastAsia="宋体" w:cs="宋体"/>
          <w:b/>
          <w:color w:val="auto"/>
          <w:sz w:val="32"/>
          <w:szCs w:val="22"/>
          <w:highlight w:val="none"/>
          <w:lang w:val="en-US" w:eastAsia="zh-CN" w:bidi="ar-SA"/>
        </w:rPr>
        <w:t xml:space="preserve">人员配备要求</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本项目拟派项目团队成员不低于 5 名，包含项目负责人 1 名、技术负责人以及项目实施人员4名。</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项目负责人以及技术负责人具有计算机软硬件相关专业或教育背景，熟悉相关法规、行业标准，具备项目管理所需技能，负责对整个项目的系统进度、实施调试及验收培训进行管理并协助采购人完成验收；</w:t>
      </w:r>
      <w:r/>
    </w:p>
    <w:p>
      <w:pPr>
        <w:numPr>
          <w:ilvl w:val="0"/>
          <w:numId w:val="5"/>
        </w:numPr>
        <w:ind w:firstLine="0"/>
        <w:jc w:val="both"/>
        <w:keepLines/>
        <w:keepNext/>
        <w:spacing w:before="100" w:beforeAutospacing="0" w:after="90" w:afterAutospacing="0" w:line="360" w:lineRule="auto"/>
        <w:widowControl w:val="off"/>
        <w:rPr>
          <w:rFonts w:hint="eastAsia" w:ascii="宋体" w:hAnsi="宋体" w:eastAsia="宋体" w:cs="宋体"/>
          <w:b/>
          <w:color w:val="auto"/>
          <w:sz w:val="32"/>
          <w:szCs w:val="22"/>
          <w:highlight w:val="none"/>
          <w:lang w:val="en-US" w:eastAsia="zh-CN" w:bidi="ar-SA"/>
        </w:rPr>
        <w:outlineLvl w:val="0"/>
      </w:pPr>
      <w:r>
        <w:rPr>
          <w:rFonts w:hint="eastAsia" w:ascii="宋体" w:hAnsi="宋体" w:eastAsia="宋体" w:cs="宋体"/>
          <w:b/>
          <w:color w:val="auto"/>
          <w:sz w:val="32"/>
          <w:szCs w:val="22"/>
          <w:highlight w:val="none"/>
          <w:lang w:val="en-US" w:eastAsia="zh-CN" w:bidi="ar-SA"/>
        </w:rPr>
        <w:t xml:space="preserve">实施期限</w:t>
      </w:r>
      <w:r/>
    </w:p>
    <w:p>
      <w:pPr>
        <w:ind w:firstLine="482"/>
        <w:spacing w:line="360" w:lineRule="auto"/>
        <w:rPr>
          <w:rFonts w:hint="eastAsia" w:ascii="宋体" w:hAnsi="宋体" w:eastAsia="宋体" w:cs="宋体"/>
          <w:b/>
          <w:bCs/>
          <w:i/>
          <w:iCs/>
          <w:color w:val="auto"/>
          <w:sz w:val="24"/>
          <w:szCs w:val="24"/>
          <w:highlight w:val="none"/>
          <w:u w:val="single"/>
          <w:lang w:val="en-US" w:eastAsia="zh-CN" w:bidi="ar-SA"/>
        </w:rPr>
      </w:pP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highlight w:val="none"/>
          <w:u w:val="single"/>
          <w:lang w:val="en-US" w:eastAsia="zh-CN" w:bidi="ar-SA"/>
        </w:rPr>
        <w:t xml:space="preserve">交货期：合同签订后，90个日历天内完成安装调试，达到招标文件要求并验收合格。（投标人提供承诺函并加盖投标人公章，承诺函格式自拟）</w:t>
      </w:r>
      <w:r/>
    </w:p>
    <w:p>
      <w:pPr>
        <w:numPr>
          <w:ilvl w:val="0"/>
          <w:numId w:val="5"/>
        </w:numPr>
        <w:ind w:firstLine="0"/>
        <w:jc w:val="both"/>
        <w:keepLines/>
        <w:keepNext/>
        <w:spacing w:before="100" w:beforeAutospacing="0" w:after="90" w:afterAutospacing="0" w:line="360" w:lineRule="auto"/>
        <w:widowControl w:val="off"/>
        <w:rPr>
          <w:rFonts w:hint="eastAsia" w:ascii="宋体" w:hAnsi="宋体" w:eastAsia="宋体" w:cs="宋体"/>
          <w:b/>
          <w:color w:val="auto"/>
          <w:sz w:val="32"/>
          <w:szCs w:val="22"/>
          <w:highlight w:val="none"/>
          <w:lang w:val="en-US" w:eastAsia="zh-CN" w:bidi="ar-SA"/>
        </w:rPr>
        <w:outlineLvl w:val="0"/>
      </w:pPr>
      <w:r>
        <w:rPr>
          <w:rFonts w:hint="eastAsia" w:ascii="宋体" w:hAnsi="宋体" w:eastAsia="宋体" w:cs="宋体"/>
          <w:b/>
          <w:color w:val="auto"/>
          <w:sz w:val="32"/>
          <w:szCs w:val="22"/>
          <w:highlight w:val="none"/>
          <w:lang w:val="en-US" w:eastAsia="zh-CN" w:bidi="ar-SA"/>
        </w:rPr>
        <w:t xml:space="preserve">实施标准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《信息安全技术信息系统通用安全技术要求》（GB/T20271-2006）</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《信息技术设备的安全》GB4943-2001</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《网络安全等级保护基本要求》（GBT 22239-2019）</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《计算机软件开发规范》（GB8566-88）</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《计算机软件产品开发文件编制指南》（GB8567-88）</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《计算机软件需求说明编制指南》（GB9385-88）</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《计算机软件测试文件编制规范》（GB9386-88）</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《信息处理-程序构造及其表示法的约定》（GB/T 13502-92）</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《计算机软件单元测试》（GB/T 15532-95）</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《软件维护指南》（GB/T 14079-93）</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《软件工程术语》（GB/T 11457-2006 ）</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《嵌入式系统术语》（GB/T 22033-2017）</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《软件工程知识体系指南》（GB/Z 31102-2014）</w:t>
      </w:r>
      <w:r/>
    </w:p>
    <w:p>
      <w:pPr>
        <w:ind w:firstLine="482"/>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注：上述技术标准如作废或有替代标准，则以现行的最新标准为准。</w:t>
      </w:r>
      <w:r/>
    </w:p>
    <w:p>
      <w:pPr>
        <w:numPr>
          <w:ilvl w:val="0"/>
          <w:numId w:val="5"/>
        </w:numPr>
        <w:ind w:firstLine="0"/>
        <w:jc w:val="both"/>
        <w:keepLines/>
        <w:keepNext/>
        <w:spacing w:before="100" w:beforeAutospacing="0" w:after="90" w:afterAutospacing="0" w:line="360" w:lineRule="auto"/>
        <w:widowControl w:val="off"/>
        <w:rPr>
          <w:rFonts w:hint="eastAsia" w:ascii="宋体" w:hAnsi="宋体" w:eastAsia="宋体" w:cs="宋体"/>
          <w:b/>
          <w:color w:val="auto"/>
          <w:sz w:val="32"/>
          <w:szCs w:val="22"/>
          <w:highlight w:val="none"/>
          <w:lang w:val="en-US" w:eastAsia="zh-CN" w:bidi="ar-SA"/>
        </w:rPr>
        <w:outlineLvl w:val="0"/>
      </w:pPr>
      <w:r>
        <w:rPr>
          <w:rFonts w:hint="eastAsia" w:ascii="宋体" w:hAnsi="宋体" w:eastAsia="宋体" w:cs="宋体"/>
          <w:b/>
          <w:color w:val="auto"/>
          <w:sz w:val="32"/>
          <w:szCs w:val="22"/>
          <w:highlight w:val="none"/>
          <w:lang w:val="en-US" w:eastAsia="zh-CN" w:bidi="ar-SA"/>
        </w:rPr>
        <w:t xml:space="preserve">培训要求</w:t>
      </w:r>
      <w:r/>
    </w:p>
    <w:p>
      <w:pPr>
        <w:ind w:firstLine="480"/>
        <w:spacing w:after="160" w:line="50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1、中标人应为采购人提供现场培训服务，中标人派出的培训教师或工程师应具有丰富的同类项目的培训经验和应用经验，培训所使用的语言和教材必须是中文，并指派专人负责，培训地点主要在学校内。</w:t>
      </w:r>
      <w:r/>
    </w:p>
    <w:p>
      <w:pPr>
        <w:ind w:firstLine="480"/>
        <w:spacing w:after="160" w:line="50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中标人须在项目实施工程中和项目实施结束后，针对采购人各业务部门进行软件培训工作，对学校的管理及教师相关人员按部门分块培训，按实际培训效果考核，通过此项培训，确保使用人员能够熟练地对软件进行使用。 </w:t>
      </w:r>
      <w:r/>
    </w:p>
    <w:p>
      <w:pPr>
        <w:ind w:firstLine="480"/>
        <w:spacing w:after="160" w:line="50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3、在服务期内，若采购人有其他培训要求，中标人应协助采购人完成相关培训，并负责提供培训材料及教师。 </w:t>
      </w:r>
      <w:r/>
    </w:p>
    <w:p>
      <w:pPr>
        <w:ind w:firstLine="480"/>
        <w:jc w:val="left"/>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除了提供现场集中培训，为了达到持续培训的效果，还应该提供网上培训的方式对各级人员进行培训。网上培训的电子课件由中标人负责编制，由采购人负责对课件进行发布和管理，用户可以下载自己所需的培训教材进行学习，并反馈相关问题。中标人需要将集中培训和网上培训上遇到的常见问题进行汇总，统一对问题进行解答。</w:t>
      </w:r>
      <w:r/>
    </w:p>
    <w:p>
      <w:pPr>
        <w:numPr>
          <w:ilvl w:val="0"/>
          <w:numId w:val="5"/>
        </w:numPr>
        <w:ind w:firstLine="0"/>
        <w:jc w:val="both"/>
        <w:keepLines/>
        <w:keepNext/>
        <w:spacing w:before="100" w:beforeAutospacing="0" w:after="90" w:afterAutospacing="0" w:line="360" w:lineRule="auto"/>
        <w:widowControl w:val="off"/>
        <w:rPr>
          <w:rFonts w:hint="eastAsia" w:ascii="宋体" w:hAnsi="宋体" w:eastAsia="宋体" w:cs="宋体"/>
          <w:b/>
          <w:color w:val="auto"/>
          <w:sz w:val="32"/>
          <w:szCs w:val="22"/>
          <w:highlight w:val="none"/>
          <w:lang w:val="en-US" w:eastAsia="zh-CN" w:bidi="ar-SA"/>
        </w:rPr>
        <w:outlineLvl w:val="0"/>
      </w:pPr>
      <w:r>
        <w:rPr>
          <w:rFonts w:hint="eastAsia" w:ascii="宋体" w:hAnsi="宋体" w:eastAsia="宋体" w:cs="宋体"/>
          <w:b/>
          <w:color w:val="auto"/>
          <w:sz w:val="32"/>
          <w:szCs w:val="22"/>
          <w:highlight w:val="none"/>
          <w:lang w:val="en-US" w:eastAsia="zh-CN" w:bidi="ar-SA"/>
        </w:rPr>
        <w:t xml:space="preserve">售后服务要求</w:t>
      </w:r>
      <w:r/>
    </w:p>
    <w:p>
      <w:pPr>
        <w:numPr>
          <w:ilvl w:val="0"/>
          <w:numId w:val="30"/>
        </w:numPr>
        <w:ind w:firstLine="482"/>
        <w:spacing w:after="160" w:line="500" w:lineRule="exact"/>
        <w:rPr>
          <w:rFonts w:hint="eastAsia" w:ascii="宋体" w:hAnsi="宋体" w:eastAsia="宋体" w:cs="宋体"/>
          <w:b/>
          <w:bCs/>
          <w:i/>
          <w:iCs/>
          <w:color w:val="auto"/>
          <w:sz w:val="24"/>
          <w:highlight w:val="none"/>
          <w:u w:val="single"/>
          <w:lang w:val="en-US" w:eastAsia="zh-CN" w:bidi="ar-SA"/>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i/>
          <w:iCs/>
          <w:color w:val="auto"/>
          <w:sz w:val="24"/>
          <w:highlight w:val="none"/>
          <w:u w:val="single"/>
          <w:lang w:val="en-US" w:eastAsia="zh-CN" w:bidi="ar-SA"/>
        </w:rPr>
        <w:t xml:space="preserve">本项目质保期（平台系统维护期）二年。</w:t>
      </w:r>
      <w:r/>
    </w:p>
    <w:p>
      <w:pPr>
        <w:numPr>
          <w:ilvl w:val="0"/>
          <w:numId w:val="30"/>
        </w:numPr>
        <w:ind w:firstLine="480"/>
        <w:spacing w:after="160" w:line="50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自验收合格完成之日起算；在质保期内，中标人承担安检、调换、等保、运行维护、更新升级、技术支持、人员服务等，相关费用包含在预算内，采购人不再支付任何费用；对于采购人人为原因造成的故障，中标人只收取维保成本费用。</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3、质保期内，本项目学校使用版本应保障为最新版本，质保期内软件版本更新升级不收取任何费用。</w:t>
      </w:r>
      <w:r/>
    </w:p>
    <w:p>
      <w:pPr>
        <w:ind w:firstLine="480"/>
        <w:spacing w:after="160" w:line="50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4、质保期由项目验收合格后开始计算。质保期满后如需升级、版本更新、运维等，经采购人确认后，涉及到费用的由采购人按照政府有关规定采购。</w:t>
      </w:r>
      <w:r/>
    </w:p>
    <w:p>
      <w:pPr>
        <w:ind w:firstLine="480"/>
        <w:spacing w:after="160" w:line="50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服务响应时间：提供远程或上门服务，组建专人、专业的支持服务团队，应以优良的服务态度，便利、快捷的方式提供7*12小时在线客服，对系统运行过程中产生的问题进行解答和问题解决跟踪，对故障半小时内响应，无法远程解决的重大紧急问题8小时内能到达现场进行处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6、在质保期内，可根据采购人需求在平台、系统增添相关功能模块。</w:t>
      </w:r>
      <w:r/>
    </w:p>
    <w:p>
      <w:pPr>
        <w:numPr>
          <w:ilvl w:val="0"/>
          <w:numId w:val="5"/>
        </w:numPr>
        <w:ind w:firstLine="0"/>
        <w:jc w:val="both"/>
        <w:keepLines/>
        <w:keepNext/>
        <w:spacing w:before="100" w:beforeAutospacing="0" w:after="90" w:afterAutospacing="0" w:line="360" w:lineRule="auto"/>
        <w:widowControl w:val="off"/>
        <w:rPr>
          <w:rFonts w:hint="eastAsia" w:ascii="宋体" w:hAnsi="宋体" w:eastAsia="宋体" w:cs="宋体"/>
          <w:b/>
          <w:color w:val="auto"/>
          <w:sz w:val="32"/>
          <w:szCs w:val="22"/>
          <w:highlight w:val="none"/>
          <w:lang w:val="en-US" w:eastAsia="zh-CN" w:bidi="ar-SA"/>
        </w:rPr>
        <w:outlineLvl w:val="0"/>
      </w:pPr>
      <w:r>
        <w:rPr>
          <w:rFonts w:hint="eastAsia" w:ascii="宋体" w:hAnsi="宋体" w:eastAsia="宋体" w:cs="宋体"/>
          <w:b/>
          <w:color w:val="auto"/>
          <w:sz w:val="32"/>
          <w:szCs w:val="22"/>
          <w:highlight w:val="none"/>
          <w:lang w:val="en-US" w:eastAsia="zh-CN" w:bidi="ar-SA"/>
        </w:rPr>
        <w:t xml:space="preserve">履约验收</w:t>
      </w:r>
      <w:r/>
    </w:p>
    <w:p>
      <w:pPr>
        <w:ind w:firstLine="480"/>
        <w:jc w:val="left"/>
        <w:spacing w:after="16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1、试运行结束后达</w:t>
      </w:r>
      <w:r>
        <w:rPr>
          <w:rFonts w:hint="eastAsia" w:ascii="宋体" w:hAnsi="宋体" w:eastAsia="宋体" w:cs="宋体"/>
          <w:color w:val="auto"/>
          <w:sz w:val="24"/>
          <w:szCs w:val="24"/>
          <w:highlight w:val="none"/>
          <w:lang w:val="en-US" w:eastAsia="zh-CN" w:bidi="ar-SA"/>
        </w:rPr>
        <w:t xml:space="preserve">到验收标准，中标人以书面方式向采购人提交验收申请与书面形式的工作成果，采购人收到验收申请30日内邀请相关专家与校内代表组成项目验收小组对项目进行验收，验收合格，出具书面验收评审意见，验收不合格，中标人应及时进行整改，并在整改结束后重新提交验收申请及整改报告，采购人重新组织验收，重新验收通过之日作为本项目实际验收合格日，并以该日期起算质保期，采购人重新组织验收产生所有相关费用由中标人承担。如两次重复验收仍不合格的，采购人有权立即解除合同，中标人应全额退还已收款项，造成采购人损失的，中标人应当承担全部赔偿责任。</w:t>
      </w:r>
      <w:r/>
    </w:p>
    <w:p>
      <w:pPr>
        <w:ind w:firstLine="480"/>
        <w:jc w:val="left"/>
        <w:spacing w:after="16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本项目的开发过程中和交付使用后，各个阶段都会有各种成果和文档资料。这些成果和文档资料对所开发平台、系统的维护和持续发展起着非常重大的作用。因此，要求将全面、规范的成果和文档资料交付给学校，而且要提供明确的交付清单。同时，成果和文档资料必须符合软件工程的相关要求。要交付的成果和文档资料包括但不限于以下部分：</w:t>
      </w:r>
      <w:r/>
    </w:p>
    <w:p>
      <w:pPr>
        <w:ind w:firstLine="480"/>
        <w:jc w:val="left"/>
        <w:spacing w:after="16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（1）技术文档：包括项目开发中的各种技术文档，如开发环境配置说明、需求分析说明、系统设计说明、用户手册、系统维护说明、系统培训资料以及有关系统接口的技术说明等。</w:t>
      </w:r>
      <w:r/>
    </w:p>
    <w:p>
      <w:pPr>
        <w:ind w:firstLine="480"/>
        <w:jc w:val="left"/>
        <w:spacing w:after="16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（2）以文档形式存在的项目成果：如系统建设中形成的各类标准规范、调研分析、规划设计报告等。</w:t>
      </w:r>
      <w:r/>
    </w:p>
    <w:p>
      <w:pPr>
        <w:ind w:firstLine="480"/>
        <w:jc w:val="left"/>
        <w:spacing w:after="16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（3）管理文档：包括项目开发中的一些工作文档，如，计划、报告、讨论纲要、会议记录等。</w:t>
      </w:r>
      <w:r/>
    </w:p>
    <w:p>
      <w:pPr>
        <w:ind w:firstLine="480"/>
        <w:jc w:val="left"/>
        <w:spacing w:after="16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（4）提供流程实施过程中过程记录，如文档管理、版本管理、变更记录等。</w:t>
      </w:r>
      <w:r/>
    </w:p>
    <w:p>
      <w:pPr>
        <w:ind w:firstLine="480"/>
        <w:jc w:val="left"/>
        <w:spacing w:after="16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（5）交付的所有成果应包括成果的电子化版本。</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（6）开放接口，全量数据中心、平台、系统及权限，完整的数据字典，应用层或接口层代码开放（根据开放程度及承诺，双方签订保密协议）。</w:t>
      </w:r>
      <w:r/>
    </w:p>
    <w:p>
      <w:pPr>
        <w:numPr>
          <w:ilvl w:val="0"/>
          <w:numId w:val="5"/>
        </w:numPr>
        <w:ind w:firstLine="0"/>
        <w:jc w:val="both"/>
        <w:keepLines/>
        <w:keepNext/>
        <w:spacing w:before="100" w:beforeAutospacing="0" w:after="90" w:afterAutospacing="0" w:line="360" w:lineRule="auto"/>
        <w:widowControl w:val="off"/>
        <w:rPr>
          <w:rFonts w:hint="eastAsia" w:ascii="宋体" w:hAnsi="宋体" w:eastAsia="宋体" w:cs="宋体"/>
          <w:b/>
          <w:color w:val="auto"/>
          <w:sz w:val="32"/>
          <w:szCs w:val="22"/>
          <w:highlight w:val="none"/>
          <w:lang w:val="en-US" w:eastAsia="zh-CN" w:bidi="ar-SA"/>
        </w:rPr>
        <w:outlineLvl w:val="0"/>
      </w:pPr>
      <w:r>
        <w:rPr>
          <w:rFonts w:hint="eastAsia" w:ascii="宋体" w:hAnsi="宋体" w:eastAsia="宋体" w:cs="宋体"/>
          <w:b/>
          <w:color w:val="auto"/>
          <w:sz w:val="32"/>
          <w:szCs w:val="22"/>
          <w:highlight w:val="none"/>
          <w:lang w:val="en-US" w:eastAsia="zh-CN" w:bidi="ar-SA"/>
        </w:rPr>
        <w:t xml:space="preserve">付款方式与履约保证金</w:t>
      </w:r>
      <w:r/>
    </w:p>
    <w:p>
      <w:pPr>
        <w:ind w:firstLine="482"/>
        <w:spacing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u w:val="single"/>
          <w:lang w:val="en-US" w:eastAsia="zh-CN" w:bidi="ar-SA"/>
        </w:rPr>
        <w:t xml:space="preserve">1、付款方式：</w:t>
      </w:r>
      <w:r/>
    </w:p>
    <w:p>
      <w:pPr>
        <w:ind w:firstLine="482"/>
        <w:spacing w:line="360" w:lineRule="auto"/>
        <w:rPr>
          <w:rFonts w:hint="eastAsia" w:ascii="宋体" w:hAnsi="宋体" w:eastAsia="宋体" w:cs="宋体"/>
          <w:b/>
          <w:bCs/>
          <w:color w:val="auto"/>
          <w:sz w:val="24"/>
          <w:szCs w:val="24"/>
          <w:highlight w:val="none"/>
          <w:u w:val="single"/>
          <w:lang w:val="en-GB" w:eastAsia="zh-CN" w:bidi="ar-SA"/>
        </w:rPr>
      </w:pPr>
      <w:r>
        <w:rPr>
          <w:rFonts w:hint="eastAsia" w:ascii="宋体" w:hAnsi="宋体" w:eastAsia="宋体" w:cs="宋体"/>
          <w:b/>
          <w:bCs/>
          <w:color w:val="auto"/>
          <w:sz w:val="24"/>
          <w:szCs w:val="24"/>
          <w:highlight w:val="none"/>
          <w:u w:val="single"/>
          <w:lang w:val="en-GB" w:eastAsia="zh-CN" w:bidi="ar-SA"/>
        </w:rPr>
        <w:t xml:space="preserve">（1）合同签订后，完成程序测试、达到试运行条件后</w:t>
      </w:r>
      <w:r>
        <w:rPr>
          <w:rFonts w:hint="eastAsia" w:ascii="宋体" w:hAnsi="宋体" w:eastAsia="宋体" w:cs="宋体"/>
          <w:b/>
          <w:bCs/>
          <w:color w:val="auto"/>
          <w:sz w:val="24"/>
          <w:szCs w:val="24"/>
          <w:highlight w:val="none"/>
          <w:u w:val="single"/>
          <w:lang w:val="en-US" w:eastAsia="zh-CN" w:bidi="ar-SA"/>
        </w:rPr>
        <w:t xml:space="preserve">中标人</w:t>
      </w:r>
      <w:r>
        <w:rPr>
          <w:rFonts w:hint="eastAsia" w:ascii="宋体" w:hAnsi="宋体" w:eastAsia="宋体" w:cs="宋体"/>
          <w:b/>
          <w:bCs/>
          <w:color w:val="auto"/>
          <w:sz w:val="24"/>
          <w:szCs w:val="24"/>
          <w:highlight w:val="none"/>
          <w:u w:val="single"/>
          <w:lang w:val="en-GB" w:eastAsia="zh-CN" w:bidi="ar-SA"/>
        </w:rPr>
        <w:t xml:space="preserve">向</w:t>
      </w:r>
      <w:r>
        <w:rPr>
          <w:rFonts w:hint="eastAsia" w:ascii="宋体" w:hAnsi="宋体" w:eastAsia="宋体" w:cs="宋体"/>
          <w:b/>
          <w:bCs/>
          <w:color w:val="auto"/>
          <w:sz w:val="24"/>
          <w:szCs w:val="24"/>
          <w:highlight w:val="none"/>
          <w:u w:val="single"/>
          <w:lang w:val="en-US" w:eastAsia="zh-CN" w:bidi="ar-SA"/>
        </w:rPr>
        <w:t xml:space="preserve">采购人</w:t>
      </w:r>
      <w:r>
        <w:rPr>
          <w:rFonts w:hint="eastAsia" w:ascii="宋体" w:hAnsi="宋体" w:eastAsia="宋体" w:cs="宋体"/>
          <w:b/>
          <w:bCs/>
          <w:color w:val="auto"/>
          <w:sz w:val="24"/>
          <w:szCs w:val="24"/>
          <w:highlight w:val="none"/>
          <w:u w:val="single"/>
          <w:lang w:val="en-GB" w:eastAsia="zh-CN" w:bidi="ar-SA"/>
        </w:rPr>
        <w:t xml:space="preserve">开具全额发票，</w:t>
      </w:r>
      <w:r>
        <w:rPr>
          <w:rFonts w:hint="eastAsia" w:ascii="宋体" w:hAnsi="宋体" w:eastAsia="宋体" w:cs="宋体"/>
          <w:b/>
          <w:bCs/>
          <w:color w:val="auto"/>
          <w:sz w:val="24"/>
          <w:szCs w:val="24"/>
          <w:highlight w:val="none"/>
          <w:u w:val="single"/>
          <w:lang w:val="en-US" w:eastAsia="zh-CN" w:bidi="ar-SA"/>
        </w:rPr>
        <w:t xml:space="preserve">采购人</w:t>
      </w:r>
      <w:r>
        <w:rPr>
          <w:rFonts w:hint="eastAsia" w:ascii="宋体" w:hAnsi="宋体" w:eastAsia="宋体" w:cs="宋体"/>
          <w:b/>
          <w:bCs/>
          <w:color w:val="auto"/>
          <w:sz w:val="24"/>
          <w:szCs w:val="24"/>
          <w:highlight w:val="none"/>
          <w:u w:val="single"/>
          <w:lang w:val="en-GB" w:eastAsia="zh-CN" w:bidi="ar-SA"/>
        </w:rPr>
        <w:t xml:space="preserve">在收到发票后支付至合同总价的70%；</w:t>
      </w:r>
      <w:r/>
    </w:p>
    <w:p>
      <w:pPr>
        <w:ind w:firstLine="482"/>
        <w:spacing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GB"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2</w:t>
      </w:r>
      <w:r>
        <w:rPr>
          <w:rFonts w:hint="eastAsia" w:ascii="宋体" w:hAnsi="宋体" w:eastAsia="宋体" w:cs="宋体"/>
          <w:b/>
          <w:bCs/>
          <w:color w:val="auto"/>
          <w:sz w:val="24"/>
          <w:szCs w:val="24"/>
          <w:highlight w:val="none"/>
          <w:u w:val="single"/>
          <w:lang w:val="en-GB" w:eastAsia="zh-CN" w:bidi="ar-SA"/>
        </w:rPr>
        <w:t xml:space="preserve">）通过最终验收合格后支付至合同金额的100%。</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2、履约保证金</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本项目收取履约保证金，金额为合同金额的</w:t>
      </w:r>
      <w:r>
        <w:rPr>
          <w:rFonts w:hint="eastAsia" w:ascii="宋体" w:hAnsi="宋体" w:eastAsia="宋体" w:cs="宋体"/>
          <w:color w:val="auto"/>
          <w:sz w:val="24"/>
          <w:szCs w:val="24"/>
          <w:highlight w:val="none"/>
          <w:u w:val="single"/>
          <w:lang w:val="en-US" w:eastAsia="zh-CN" w:bidi="ar-SA"/>
        </w:rPr>
        <w:t xml:space="preserve"> 10 </w:t>
      </w:r>
      <w:r>
        <w:rPr>
          <w:rFonts w:hint="eastAsia" w:ascii="宋体" w:hAnsi="宋体" w:eastAsia="宋体" w:cs="宋体"/>
          <w:color w:val="auto"/>
          <w:sz w:val="24"/>
          <w:szCs w:val="24"/>
          <w:highlight w:val="none"/>
          <w:lang w:val="en-US" w:eastAsia="zh-CN" w:bidi="ar-SA"/>
        </w:rPr>
        <w:t xml:space="preserve">%。</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中标人应当以支票、汇票、本票或者金融机构、担保机构出具的保函等非现金形式在合同签订前提交。</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支持和鼓励供应商使用江苏政府采购电子履约保函（保险）代替缴纳履约保证金。以履约保函（保险）形式向采购人缴纳的，按照《关于在全省政府采购领域推行电子履约保函（保险）的通知》（苏财购〔2023〕150号），登录江苏政府采购网，选择“保险保函”模块，进行相关操作。供应商可登陆江苏政府采购网“资料下载”栏目下载“政府采购电子履约（保函）保险操作手册（网址：www.ccgp-jiangsu.gov.cn/jisngsu/zlxz/)。</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numPr>
          <w:ilvl w:val="0"/>
          <w:numId w:val="5"/>
        </w:numPr>
        <w:ind w:firstLine="0"/>
        <w:jc w:val="both"/>
        <w:keepLines/>
        <w:keepNext/>
        <w:spacing w:before="100" w:beforeAutospacing="0" w:after="90" w:afterAutospacing="0" w:line="360" w:lineRule="auto"/>
        <w:widowControl w:val="off"/>
        <w:rPr>
          <w:rFonts w:hint="eastAsia" w:ascii="宋体" w:hAnsi="宋体" w:eastAsia="宋体" w:cs="宋体"/>
          <w:b/>
          <w:color w:val="auto"/>
          <w:sz w:val="32"/>
          <w:szCs w:val="22"/>
          <w:highlight w:val="none"/>
          <w:lang w:val="en-US" w:eastAsia="zh-CN" w:bidi="ar-SA"/>
        </w:rPr>
        <w:outlineLvl w:val="0"/>
      </w:pPr>
      <w:r>
        <w:rPr>
          <w:rFonts w:hint="eastAsia" w:ascii="宋体" w:hAnsi="宋体" w:eastAsia="宋体" w:cs="宋体"/>
          <w:b/>
          <w:color w:val="auto"/>
          <w:sz w:val="32"/>
          <w:szCs w:val="22"/>
          <w:highlight w:val="none"/>
          <w:lang w:val="en-US" w:eastAsia="zh-CN" w:bidi="ar-SA"/>
        </w:rPr>
        <w:t xml:space="preserve">项目实施要求：</w:t>
      </w:r>
      <w:r/>
    </w:p>
    <w:p>
      <w:pPr>
        <w:ind w:firstLine="480"/>
        <w:spacing w:after="16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1、投标人须根据项目采购需求全部内容及要求建设本项目，制定详细的项目实施方案，投标人关于实施方案的描述应包括但不限于以下内容：</w:t>
      </w:r>
      <w:r>
        <w:rPr>
          <w:rFonts w:hint="eastAsia" w:ascii="宋体" w:hAnsi="宋体" w:eastAsia="宋体" w:cs="宋体"/>
          <w:color w:val="auto"/>
          <w:sz w:val="24"/>
          <w:szCs w:val="24"/>
          <w:highlight w:val="none"/>
          <w:lang w:val="en-US" w:eastAsia="zh-CN" w:bidi="ar-SA"/>
        </w:rPr>
        <w:t xml:space="preserve">（1）进度安排：履约期内合理有效的进度安排计划</w:t>
      </w:r>
      <w:r>
        <w:rPr>
          <w:rFonts w:hint="eastAsia" w:ascii="宋体" w:hAnsi="宋体" w:eastAsia="宋体" w:cs="宋体"/>
          <w:color w:val="auto"/>
          <w:sz w:val="24"/>
          <w:szCs w:val="24"/>
          <w:highlight w:val="none"/>
          <w:lang w:val="en-US" w:eastAsia="zh-CN" w:bidi="ar-SA"/>
        </w:rPr>
        <w:t xml:space="preserve">。（2）组织架构：人员组织架构安排合理，投标人须组建项目实施小组，总体人员配备方案科学、合理，须明确本项目开发实施队伍的人员架构、数量、技术实力及职责分工，并保证人员数量、质量和人员的稳定性、连续性。（3）进度控制：项目实施进度保障计划。（4）风险控制管理：有相关风险控制规章制度。（5）质量保障措施：有质量保障措施。（6）信息安全管理措施：有信息安全管理措施。（7）文档管理措施：有文档管理措施。促进项目全面顺利实施；在实施计划的基础上，方案应进一步明确和细化每个阶段的工作范围、内容、过程、责任、交付成果等。</w:t>
      </w:r>
      <w:r>
        <w:rPr>
          <w:rFonts w:hint="eastAsia" w:ascii="宋体" w:hAnsi="宋体" w:eastAsia="宋体" w:cs="宋体"/>
          <w:bCs/>
          <w:color w:val="auto"/>
          <w:sz w:val="24"/>
          <w:szCs w:val="24"/>
          <w:highlight w:val="none"/>
          <w:lang w:val="en-US" w:eastAsia="zh-CN" w:bidi="ar-SA"/>
        </w:rPr>
        <w:t xml:space="preserve">同时还应涉及到项目的实施进度、组织、风险、质量、变更、信息安全、文档管理等。</w:t>
      </w:r>
      <w:r/>
    </w:p>
    <w:p>
      <w:pPr>
        <w:ind w:firstLine="480"/>
        <w:spacing w:after="16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本项目平台、系统为微应用架构，综合管理平台基础架构满足用户各业务系统独立运行但又在管理上高度统一的要求，提高用户管理效率，具有灵活、自主、开放的特性，投标人需结合自身经验提供本项目综合管理平台基础架构下的各业务系统设计方案。投标人须提供详细具体的数据整理方案。</w:t>
      </w:r>
      <w:r/>
    </w:p>
    <w:p>
      <w:pPr>
        <w:ind w:firstLine="480"/>
        <w:spacing w:after="16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本项目综合服务平台建设要支撑各种大数量、高计算量的系统，投标人应提供完全依托政务云部署的具体方案，以供采购人评估政务云服务的采购标准。本项目必须部署在市政务云上</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ind w:firstLine="480"/>
        <w:spacing w:after="16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本项目作为信息化综合管理平台，其安全性处于极其重要的地位。投标人需结合自身经验提供落地性强、具备高度可操作性的本地化和云端基础设施安全、物理安全、网络安全、系统安全、应用软件安全、用户安全、数据安全等几方面提出配套的安全体系完善设计方案。</w:t>
      </w:r>
      <w:r/>
    </w:p>
    <w:p>
      <w:pPr>
        <w:numPr>
          <w:ilvl w:val="0"/>
          <w:numId w:val="5"/>
        </w:numPr>
        <w:ind w:firstLine="0"/>
        <w:jc w:val="both"/>
        <w:keepLines/>
        <w:keepNext/>
        <w:spacing w:before="100" w:beforeAutospacing="0" w:after="90" w:afterAutospacing="0" w:line="360" w:lineRule="auto"/>
        <w:widowControl w:val="off"/>
        <w:rPr>
          <w:rFonts w:hint="eastAsia" w:ascii="宋体" w:hAnsi="宋体" w:eastAsia="宋体" w:cs="宋体"/>
          <w:b/>
          <w:color w:val="auto"/>
          <w:sz w:val="32"/>
          <w:szCs w:val="22"/>
          <w:highlight w:val="none"/>
          <w:lang w:val="en-US" w:eastAsia="zh-CN" w:bidi="ar-SA"/>
        </w:rPr>
        <w:outlineLvl w:val="0"/>
      </w:pPr>
      <w:r>
        <w:rPr>
          <w:rFonts w:hint="eastAsia" w:ascii="宋体" w:hAnsi="宋体" w:eastAsia="宋体" w:cs="宋体"/>
          <w:b/>
          <w:color w:val="auto"/>
          <w:sz w:val="32"/>
          <w:szCs w:val="22"/>
          <w:highlight w:val="none"/>
          <w:lang w:val="en-US" w:eastAsia="zh-CN" w:bidi="ar-SA"/>
        </w:rPr>
        <w:t xml:space="preserve">报价要求</w:t>
      </w:r>
      <w:r/>
    </w:p>
    <w:p>
      <w:pPr>
        <w:ind w:firstLine="480"/>
        <w:spacing w:after="160"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投标人须以人民币报价，该报价包括了投标方完成本项目所需的一切工作内容而发生的所有直接费用、间接费用、其它费用、税金等全部费用和投标方要求获得的利润以及应由投标方承担的义务、责任和风险所发生的一切费用。</w:t>
      </w:r>
      <w:r/>
    </w:p>
    <w:p>
      <w:pPr>
        <w:numPr>
          <w:ilvl w:val="0"/>
          <w:numId w:val="5"/>
        </w:numPr>
        <w:ind w:firstLine="0"/>
        <w:jc w:val="both"/>
        <w:keepLines/>
        <w:keepNext/>
        <w:spacing w:before="100" w:beforeAutospacing="0" w:after="90" w:afterAutospacing="0" w:line="360" w:lineRule="auto"/>
        <w:widowControl w:val="off"/>
        <w:rPr>
          <w:rFonts w:hint="eastAsia" w:ascii="宋体" w:hAnsi="宋体" w:eastAsia="宋体" w:cs="宋体"/>
          <w:b/>
          <w:color w:val="auto"/>
          <w:sz w:val="32"/>
          <w:szCs w:val="22"/>
          <w:highlight w:val="none"/>
          <w:lang w:val="en-US" w:eastAsia="zh-CN" w:bidi="ar-SA"/>
        </w:rPr>
        <w:outlineLvl w:val="0"/>
      </w:pPr>
      <w:r>
        <w:rPr>
          <w:rFonts w:hint="eastAsia" w:ascii="宋体" w:hAnsi="宋体" w:eastAsia="宋体" w:cs="宋体"/>
          <w:b/>
          <w:color w:val="auto"/>
          <w:sz w:val="32"/>
          <w:szCs w:val="22"/>
          <w:highlight w:val="none"/>
          <w:lang w:val="en-US" w:eastAsia="zh-CN" w:bidi="ar-SA"/>
        </w:rPr>
        <w:t xml:space="preserve">其他</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1、本项目报价不得超过预算价。</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特别提醒投标人：应根据国家收费标准并结合市场实际进行报价，总价包干。</w:t>
      </w:r>
      <w:r/>
    </w:p>
    <w:p>
      <w:pPr>
        <w:ind w:left="0" w:right="0"/>
        <w:jc w:val="left"/>
        <w:pageBreakBefore w:val="0"/>
        <w:spacing w:line="49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bidi="ar-SA"/>
        </w:rPr>
        <w:t xml:space="preserve">2、工作中涉及的敏感资料、电子数据等相关信息，中标人应严格执行保密的相关规定，不得以任何方式向任何第三人披露、泄露或许可第三人使用，否则追究其相应法律责任。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color w:val="auto"/>
          <w:sz w:val="24"/>
          <w:szCs w:val="24"/>
          <w:highlight w:val="none"/>
        </w:rPr>
        <w:br w:type="page" w:clear="all"/>
      </w:r>
      <w:r/>
    </w:p>
    <w:p>
      <w:pPr>
        <w:pStyle w:val="749"/>
        <w:ind w:left="0" w:right="0"/>
        <w:jc w:val="center"/>
        <w:pageBreakBefore w:val="0"/>
        <w:spacing w:before="0" w:after="0" w:line="360" w:lineRule="auto"/>
        <w:widowControl w:val="off"/>
        <w:rPr>
          <w:rFonts w:hint="eastAsia" w:ascii="宋体" w:hAnsi="宋体" w:eastAsia="宋体" w:cs="宋体"/>
          <w:b w:val="0"/>
          <w:color w:val="auto"/>
          <w:highlight w:val="none"/>
        </w:rPr>
      </w:pPr>
      <w:r/>
      <w:bookmarkStart w:id="31" w:name="_Toc155796360"/>
      <w:r>
        <w:rPr>
          <w:rFonts w:hint="eastAsia" w:ascii="宋体" w:hAnsi="宋体" w:eastAsia="宋体" w:cs="宋体"/>
          <w:b w:val="0"/>
          <w:color w:val="auto"/>
          <w:highlight w:val="none"/>
        </w:rPr>
        <w:t xml:space="preserve">第五章  评标方法与评标标准</w:t>
      </w:r>
      <w:bookmarkEnd w:id="31"/>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lang w:eastAsia="zh-CN"/>
        </w:rPr>
        <w:t xml:space="preserve">由</w:t>
      </w:r>
      <w:r>
        <w:rPr>
          <w:rFonts w:hint="eastAsia" w:ascii="宋体" w:hAnsi="宋体" w:eastAsia="宋体" w:cs="宋体"/>
          <w:color w:val="auto"/>
          <w:sz w:val="24"/>
          <w:szCs w:val="24"/>
          <w:highlight w:val="none"/>
          <w:u w:val="none"/>
          <w:lang w:val="en-US" w:eastAsia="zh-CN"/>
        </w:rPr>
        <w:t xml:space="preserve">采购人</w:t>
      </w:r>
      <w:r>
        <w:rPr>
          <w:rFonts w:hint="eastAsia" w:ascii="宋体" w:hAnsi="宋体" w:eastAsia="宋体" w:cs="宋体"/>
          <w:color w:val="auto"/>
          <w:sz w:val="24"/>
          <w:szCs w:val="24"/>
          <w:highlight w:val="none"/>
          <w:u w:val="none"/>
          <w:lang w:eastAsia="zh-CN"/>
        </w:rPr>
        <w:t xml:space="preserve">代表随机抽取确定排序</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。投标文件满足招标文件全部实质性要求，且按照评审因素的量化指标评审得分最高的投标人为中标候选人。</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left="0" w:right="0"/>
        <w:jc w:val="center"/>
        <w:pageBreakBefore w:val="0"/>
        <w:spacing w:line="49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（2）技术分（</w:t>
      </w: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分）</w:t>
      </w:r>
      <w:r/>
    </w:p>
    <w:tbl>
      <w:tblPr>
        <w:tblStyle w:val="7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评审因素</w:t>
            </w:r>
            <w:r/>
          </w:p>
        </w:tc>
        <w:tc>
          <w:tcPr>
            <w:tcW w:w="684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评审标准</w:t>
            </w:r>
            <w:r/>
          </w:p>
        </w:tc>
      </w:tr>
      <w:tr>
        <w:trPr>
          <w:jc w:val="center"/>
          <w:trHeight w:val="621"/>
        </w:trPr>
        <w:tc>
          <w:tcPr>
            <w:tcW w:w="1660" w:type="dxa"/>
            <w:vAlign w:val="center"/>
            <w:textDirection w:val="lrTb"/>
            <w:noWrap/>
          </w:tcPr>
          <w:p>
            <w:pPr>
              <w:ind w:firstLine="0"/>
              <w:jc w:val="center"/>
              <w:keepLines w:val="0"/>
              <w:keepNext w:val="0"/>
              <w:pageBreakBefore w:val="0"/>
              <w:spacing w:line="276" w:lineRule="auto"/>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技术参数响应（19分）</w:t>
            </w:r>
            <w:r/>
          </w:p>
        </w:tc>
        <w:tc>
          <w:tcPr>
            <w:tcW w:w="6845" w:type="dxa"/>
            <w:vAlign w:val="center"/>
            <w:textDirection w:val="lrTb"/>
            <w:noWrap/>
          </w:tcPr>
          <w:p>
            <w:pPr>
              <w:ind w:right="0"/>
              <w:jc w:val="both"/>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完全满足招标文件技术要求的，得19分；标“▲”的技术指标的，每有一项负偏离扣1分，扣完为止；</w:t>
            </w:r>
            <w:r/>
          </w:p>
          <w:p>
            <w:pPr>
              <w:ind w:firstLine="0"/>
              <w:jc w:val="left"/>
              <w:keepLines w:val="0"/>
              <w:keepNext w:val="0"/>
              <w:pageBreakBefore w:val="0"/>
              <w:spacing w:line="276"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firstLine="0"/>
              <w:jc w:val="left"/>
              <w:keepLines w:val="0"/>
              <w:keepNext w:val="0"/>
              <w:pageBreakBefore w:val="0"/>
              <w:spacing w:line="276" w:lineRule="auto"/>
              <w:rPr>
                <w:rFonts w:hint="eastAsia" w:ascii="宋体" w:hAnsi="宋体" w:eastAsia="宋体" w:cs="宋体"/>
                <w:color w:val="auto"/>
                <w:sz w:val="24"/>
                <w:highlight w:val="none"/>
                <w:lang w:val="en-US" w:eastAsia="zh-CN" w:bidi="ar-SA"/>
              </w:rPr>
            </w:pPr>
            <w:r>
              <w:rPr>
                <w:rFonts w:hint="eastAsia" w:ascii="宋体" w:hAnsi="宋体" w:eastAsia="宋体" w:cs="宋体"/>
                <w:b/>
                <w:color w:val="auto"/>
                <w:sz w:val="24"/>
                <w:szCs w:val="24"/>
                <w:highlight w:val="none"/>
                <w:lang w:val="en-US" w:eastAsia="zh-CN"/>
              </w:rPr>
              <w:t xml:space="preserve">注：投标人须提供投标产品的技术要求响应及偏离表。标“▲”指标要求按照采购需求中的具体参数需求响应，并按招标文件要求提供相关证明材料原件彩色扫描件，</w:t>
            </w:r>
            <w:r>
              <w:rPr>
                <w:rFonts w:hint="eastAsia" w:ascii="宋体" w:hAnsi="宋体" w:eastAsia="宋体" w:cs="宋体"/>
                <w:b/>
                <w:color w:val="auto"/>
                <w:sz w:val="24"/>
                <w:szCs w:val="24"/>
                <w:highlight w:val="none"/>
                <w:lang w:val="en-GB" w:eastAsia="zh-CN"/>
              </w:rPr>
              <w:t xml:space="preserve">并标明证明材料在投标文件中的具体位置并做明显标识，便于评审。证明材料未提供的或提供与要求不符的视为负偏离。</w:t>
            </w:r>
            <w:r/>
          </w:p>
        </w:tc>
      </w:tr>
      <w:tr>
        <w:trPr>
          <w:jc w:val="center"/>
          <w:trHeight w:val="621"/>
        </w:trPr>
        <w:tc>
          <w:tcPr>
            <w:tcW w:w="1660" w:type="dxa"/>
            <w:vAlign w:val="center"/>
            <w:textDirection w:val="lrTb"/>
            <w:noWrap/>
          </w:tcPr>
          <w:p>
            <w:pPr>
              <w:ind w:left="120" w:firstLine="0"/>
              <w:jc w:val="center"/>
              <w:keepLines w:val="0"/>
              <w:keepNext w:val="0"/>
              <w:pageBreakBefore w:val="0"/>
              <w:spacing w:line="256"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实施方案</w:t>
            </w:r>
            <w:r/>
          </w:p>
          <w:p>
            <w:pPr>
              <w:ind w:left="120" w:firstLine="0"/>
              <w:jc w:val="center"/>
              <w:keepLines w:val="0"/>
              <w:keepNext w:val="0"/>
              <w:pageBreakBefore w:val="0"/>
              <w:spacing w:line="256"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（5分）</w:t>
            </w:r>
            <w:r/>
          </w:p>
        </w:tc>
        <w:tc>
          <w:tcPr>
            <w:tcW w:w="6845" w:type="dxa"/>
            <w:vAlign w:val="center"/>
            <w:textDirection w:val="lrTb"/>
            <w:noWrap/>
          </w:tcPr>
          <w:p>
            <w:pPr>
              <w:ind w:firstLine="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投标人提供实施方案，包括但不限于（1）进度安排、（2）组织架构、（3）进度控制、（4）风险控制管理、（5）质量保障措施、（6）信息安全管理措施、（7）文档管理措施等内容。</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方案至少包含以上7项内容的得5分。每缺少一项扣1分；以上内容中存在缺陷或错误的每有1处，扣0.5分，扣完为止。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注：“缺陷或错误”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621"/>
        </w:trPr>
        <w:tc>
          <w:tcPr>
            <w:tcW w:w="1660" w:type="dxa"/>
            <w:vAlign w:val="center"/>
            <w:textDirection w:val="lrTb"/>
            <w:noWrap/>
          </w:tcPr>
          <w:p>
            <w:pPr>
              <w:ind w:firstLine="0"/>
              <w:jc w:val="center"/>
              <w:keepLines w:val="0"/>
              <w:keepNext w:val="0"/>
              <w:pageBreakBefore w:val="0"/>
              <w:spacing w:line="256"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综合管理平台基础架构设计方案</w:t>
            </w:r>
            <w:r/>
          </w:p>
          <w:p>
            <w:pPr>
              <w:ind w:firstLine="0"/>
              <w:jc w:val="center"/>
              <w:keepLines w:val="0"/>
              <w:keepNext w:val="0"/>
              <w:pageBreakBefore w:val="0"/>
              <w:spacing w:line="256"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（3分）</w:t>
            </w:r>
            <w:r/>
          </w:p>
          <w:p>
            <w:pPr>
              <w:ind w:firstLine="0"/>
              <w:jc w:val="center"/>
              <w:keepLines w:val="0"/>
              <w:keepNext w:val="0"/>
              <w:pageBreakBefore w:val="0"/>
              <w:spacing w:line="256"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c>
        <w:tc>
          <w:tcPr>
            <w:tcW w:w="6845" w:type="dxa"/>
            <w:vAlign w:val="center"/>
            <w:textDirection w:val="lrTb"/>
            <w:noWrap/>
          </w:tcPr>
          <w:p>
            <w:pPr>
              <w:ind w:firstLine="0"/>
              <w:jc w:val="left"/>
              <w:keepLines w:val="0"/>
              <w:keepNext w:val="0"/>
              <w:pageBreakBefore w:val="0"/>
              <w:spacing w:line="259"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投标人提供综合管理平台基础架构方案，包括但不限于（1）各业务系统功能设计、（2）界面优化、（3）整体设计等内容。</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方案至少包含以上3项内容的得3分。每缺少一项扣1分；以上内容中存在缺陷或错误的每有1处，扣0.5分，扣完为止。 </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注：“缺陷或错误”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621"/>
        </w:trPr>
        <w:tc>
          <w:tcPr>
            <w:tcW w:w="166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数据迁移、治理采集方案</w:t>
            </w:r>
            <w:r/>
          </w:p>
          <w:p>
            <w:pPr>
              <w:ind w:firstLine="0"/>
              <w:jc w:val="center"/>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（3分）</w:t>
            </w:r>
            <w:r/>
          </w:p>
          <w:p>
            <w:pPr>
              <w:ind w:firstLine="0"/>
              <w:jc w:val="center"/>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c>
        <w:tc>
          <w:tcPr>
            <w:tcW w:w="6845" w:type="dxa"/>
            <w:vAlign w:val="center"/>
            <w:textDirection w:val="lrTb"/>
            <w:noWrap/>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投标人提供数据迁移治理采集方案，包括但不限于（1）“校本数据中心”、（2）“院校中台”、（3）“微服务综合管理平台”的数据和业务系统层面迁移、治理采集等内容。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方案至少包含以上3项内容的得3分。每缺少一项扣1分；以上内容中存在缺陷或错误的每有1处，扣0.5分，扣完为止。 </w:t>
            </w:r>
            <w:r/>
          </w:p>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注：“缺陷或错误”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621"/>
        </w:trPr>
        <w:tc>
          <w:tcPr>
            <w:tcW w:w="1660" w:type="dxa"/>
            <w:vAlign w:val="center"/>
            <w:textDirection w:val="lrTb"/>
            <w:noWrap/>
          </w:tcPr>
          <w:p>
            <w:pPr>
              <w:ind w:right="7" w:firstLine="0"/>
              <w:jc w:val="center"/>
              <w:keepLines w:val="0"/>
              <w:keepNext w:val="0"/>
              <w:pageBreakBefore w:val="0"/>
              <w:spacing w:line="256"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平台部署方案</w:t>
            </w:r>
            <w:r/>
          </w:p>
          <w:p>
            <w:pPr>
              <w:ind w:right="7" w:firstLine="0"/>
              <w:jc w:val="center"/>
              <w:keepLines w:val="0"/>
              <w:keepNext w:val="0"/>
              <w:pageBreakBefore w:val="0"/>
              <w:spacing w:line="256"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（2分）</w:t>
            </w:r>
            <w:r/>
          </w:p>
        </w:tc>
        <w:tc>
          <w:tcPr>
            <w:tcW w:w="6845" w:type="dxa"/>
            <w:vAlign w:val="center"/>
            <w:textDirection w:val="lrTb"/>
            <w:noWrap/>
          </w:tcPr>
          <w:p>
            <w:pPr>
              <w:ind w:firstLine="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投标人提供平台部署方案，包括但不限于（1）云部署、（2）本地化部署（须提供网络映射部署方式）两种平台部署等内容。</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方案至少包含以上2项内容的得2分。每缺少一项扣1分；以上内容中存在缺陷或错误的每有1处，扣0.5分，扣完为止。 </w:t>
            </w:r>
            <w:r/>
          </w:p>
          <w:p>
            <w:pPr>
              <w:ind w:right="7"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注：“缺陷或错误”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621"/>
        </w:trPr>
        <w:tc>
          <w:tcPr>
            <w:tcW w:w="1660" w:type="dxa"/>
            <w:vAlign w:val="center"/>
            <w:textDirection w:val="lrTb"/>
            <w:noWrap/>
          </w:tcPr>
          <w:p>
            <w:pPr>
              <w:ind w:right="7" w:firstLine="0"/>
              <w:jc w:val="center"/>
              <w:keepLines w:val="0"/>
              <w:keepNext w:val="0"/>
              <w:pageBreakBefore w:val="0"/>
              <w:spacing w:line="256"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安全保障方案</w:t>
            </w:r>
            <w:r/>
          </w:p>
          <w:p>
            <w:pPr>
              <w:ind w:right="7" w:firstLine="0"/>
              <w:jc w:val="center"/>
              <w:keepLines w:val="0"/>
              <w:keepNext w:val="0"/>
              <w:pageBreakBefore w:val="0"/>
              <w:spacing w:line="256"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（5分）</w:t>
            </w:r>
            <w:r/>
          </w:p>
        </w:tc>
        <w:tc>
          <w:tcPr>
            <w:tcW w:w="6845" w:type="dxa"/>
            <w:vAlign w:val="center"/>
            <w:textDirection w:val="lrTb"/>
            <w:noWrap/>
          </w:tcPr>
          <w:p>
            <w:pPr>
              <w:ind w:firstLine="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投标人提供安全保障方案，包括但不限于本地化和云端：（1）基础设施安全、（2）物理安全、（3）网络安全、（4）系统安全、（5）应用软件安全、（6）用户安全、（7）数据安全等内容。</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方案至少包含以上7项内容的得5分。每缺少一项扣1分；以上内容中存在缺陷或错误的每有1处，扣0.5分，扣完为止。 </w:t>
            </w:r>
            <w:r/>
          </w:p>
          <w:p>
            <w:pPr>
              <w:ind w:right="7"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注：“缺陷或错误”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621"/>
        </w:trPr>
        <w:tc>
          <w:tcPr>
            <w:tcW w:w="1660" w:type="dxa"/>
            <w:vAlign w:val="center"/>
            <w:textDirection w:val="lrTb"/>
            <w:noWrap/>
          </w:tcPr>
          <w:p>
            <w:pPr>
              <w:ind w:firstLine="0"/>
              <w:jc w:val="center"/>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售后服务方案</w:t>
            </w:r>
            <w:r/>
          </w:p>
          <w:p>
            <w:pPr>
              <w:ind w:firstLine="0"/>
              <w:jc w:val="center"/>
              <w:keepLines w:val="0"/>
              <w:keepNext w:val="0"/>
              <w:pageBreakBefore w:val="0"/>
              <w:spacing w:line="360" w:lineRule="auto"/>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（5分）</w:t>
            </w:r>
            <w:r/>
          </w:p>
        </w:tc>
        <w:tc>
          <w:tcPr>
            <w:tcW w:w="6845" w:type="dxa"/>
            <w:vAlign w:val="top"/>
            <w:textDirection w:val="lrTb"/>
            <w:noWrap/>
          </w:tcPr>
          <w:p>
            <w:pPr>
              <w:ind w:firstLine="0"/>
              <w:keepLines w:val="0"/>
              <w:keepNext w:val="0"/>
              <w:pageBreakBefore w:val="0"/>
              <w:spacing w:line="360" w:lineRule="auto"/>
              <w:widowControl/>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投标人提供售后服务方案，包括但不限于（1）</w:t>
            </w:r>
            <w:r>
              <w:rPr>
                <w:rFonts w:hint="eastAsia" w:ascii="宋体" w:hAnsi="宋体" w:eastAsia="宋体" w:cs="宋体"/>
                <w:color w:val="auto"/>
                <w:sz w:val="24"/>
                <w:szCs w:val="24"/>
                <w:highlight w:val="none"/>
                <w:lang w:val="en-US" w:eastAsia="zh-CN" w:bidi="ar-SA"/>
              </w:rPr>
              <w:t xml:space="preserve">交货期、（2）质保期、（3）服务内容、（4）技术支持、（5）售后服务策略、（6）售后服务管理制度、（7）服务升级</w:t>
            </w:r>
            <w:r>
              <w:rPr>
                <w:rFonts w:hint="eastAsia" w:ascii="宋体" w:hAnsi="宋体" w:eastAsia="宋体" w:cs="宋体"/>
                <w:color w:val="auto"/>
                <w:spacing w:val="-8"/>
                <w:sz w:val="24"/>
                <w:szCs w:val="24"/>
                <w:highlight w:val="none"/>
                <w:lang w:val="en-US" w:eastAsia="zh-CN" w:bidi="ar-SA"/>
              </w:rPr>
              <w:t xml:space="preserve">等内容。</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方案至少包含以上7项内容的得5分。每缺少一项扣1分；以上内容中存在缺陷或错误的每有1处，扣0.5分，扣完为止。 </w:t>
            </w:r>
            <w:r/>
          </w:p>
          <w:p>
            <w:pPr>
              <w:ind w:firstLine="0"/>
              <w:keepLines w:val="0"/>
              <w:keepNext w:val="0"/>
              <w:pageBreakBefore w:val="0"/>
              <w:spacing w:line="360" w:lineRule="auto"/>
              <w:widowControl/>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注：“缺陷或错误”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bl>
    <w:p>
      <w:pPr>
        <w:ind w:firstLine="480"/>
        <w:jc w:val="left"/>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（3）商务分（28分）</w:t>
      </w:r>
      <w:r/>
    </w:p>
    <w:tbl>
      <w:tblPr>
        <w:tblStyle w:val="7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评审因素</w:t>
            </w:r>
            <w:r/>
          </w:p>
        </w:tc>
        <w:tc>
          <w:tcPr>
            <w:tcW w:w="684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评审标准</w:t>
            </w:r>
            <w:r/>
          </w:p>
        </w:tc>
      </w:tr>
      <w:tr>
        <w:trPr>
          <w:jc w:val="center"/>
          <w:trHeight w:val="265"/>
        </w:trPr>
        <w:tc>
          <w:tcPr>
            <w:tcW w:w="1660" w:type="dxa"/>
            <w:vAlign w:val="center"/>
            <w:textDirection w:val="lrTb"/>
            <w:noWrap/>
          </w:tcPr>
          <w:p>
            <w:pPr>
              <w:ind w:firstLine="0"/>
              <w:jc w:val="center"/>
              <w:keepLines w:val="0"/>
              <w:keepNext w:val="0"/>
              <w:pageBreakBefore w:val="0"/>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pacing w:val="-8"/>
                <w:sz w:val="24"/>
                <w:szCs w:val="24"/>
                <w:highlight w:val="none"/>
                <w:lang w:val="en-US" w:eastAsia="zh-CN" w:bidi="ar-SA"/>
              </w:rPr>
              <w:t xml:space="preserve">项目团队  （10分）</w:t>
            </w:r>
            <w:r/>
          </w:p>
        </w:tc>
        <w:tc>
          <w:tcPr>
            <w:tcW w:w="6845" w:type="dxa"/>
            <w:vAlign w:val="center"/>
            <w:textDirection w:val="lrTb"/>
            <w:noWrap/>
          </w:tcPr>
          <w:p>
            <w:pPr>
              <w:ind w:firstLine="0"/>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1、投标人针对本项目，拟投入的项目负责人具有信息系统项目管理师、系统架构设计师、AIGC开发与应用工程师和注册信息安全管理人员证书(CISP)的，每具有一个得 1.5 分，最多得6分。</w:t>
            </w:r>
            <w:r/>
          </w:p>
          <w:p>
            <w:pPr>
              <w:ind w:firstLine="0"/>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2、拟派项目团队成员不少于4人（不含项目负责人），具有</w:t>
            </w:r>
            <w:r>
              <w:rPr>
                <w:rFonts w:hint="eastAsia" w:ascii="宋体" w:hAnsi="宋体" w:eastAsia="宋体" w:cs="宋体"/>
                <w:color w:val="auto"/>
                <w:sz w:val="24"/>
                <w:szCs w:val="24"/>
                <w:highlight w:val="none"/>
              </w:rPr>
              <w:t xml:space="preserve">计算机或软件相关专业</w:t>
            </w:r>
            <w:r>
              <w:rPr>
                <w:rFonts w:hint="eastAsia" w:ascii="宋体" w:hAnsi="宋体" w:eastAsia="宋体" w:cs="宋体"/>
                <w:color w:val="auto"/>
                <w:sz w:val="24"/>
                <w:highlight w:val="none"/>
                <w:lang w:val="en-US" w:eastAsia="zh-CN" w:bidi="ar-SA"/>
              </w:rPr>
              <w:t xml:space="preserve">从业经验，提供从业经验证明履历表或毕业证书，每有1人得1分，本项最高得4分。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highlight w:val="none"/>
                <w:lang w:val="en-US" w:eastAsia="zh-CN" w:bidi="ar-SA"/>
              </w:rPr>
              <w:t xml:space="preserve">注：上述1-2项投标文件中提供相关证书扫描件并加盖投标人公章，并提供2026年1月（含）以来任意一个月投标人为其缴纳的社保证明材料并加盖投标人公章，否则不得分。</w:t>
            </w:r>
            <w:r/>
          </w:p>
        </w:tc>
      </w:tr>
      <w:tr>
        <w:trPr>
          <w:jc w:val="center"/>
          <w:trHeight w:val="621"/>
        </w:trPr>
        <w:tc>
          <w:tcPr>
            <w:tcW w:w="1660" w:type="dxa"/>
            <w:vAlign w:val="center"/>
            <w:textDirection w:val="lrTb"/>
            <w:noWrap/>
          </w:tcPr>
          <w:p>
            <w:pPr>
              <w:ind w:firstLine="0"/>
              <w:jc w:val="center"/>
              <w:keepLines w:val="0"/>
              <w:keepNext w:val="0"/>
              <w:pageBreakBefore w:val="0"/>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pacing w:val="-8"/>
                <w:sz w:val="24"/>
                <w:szCs w:val="24"/>
                <w:highlight w:val="none"/>
                <w:lang w:val="en-US" w:eastAsia="zh-CN" w:bidi="ar-SA"/>
              </w:rPr>
              <w:t xml:space="preserve">项目实施保障（6分）</w:t>
            </w:r>
            <w:r/>
          </w:p>
        </w:tc>
        <w:tc>
          <w:tcPr>
            <w:tcW w:w="6845" w:type="dxa"/>
            <w:vAlign w:val="center"/>
            <w:textDirection w:val="lrTb"/>
            <w:noWrap/>
          </w:tcPr>
          <w:p>
            <w:pPr>
              <w:ind w:firstLine="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1、投标人具有有效期内的质量管理体系认证的，得2分；</w:t>
            </w:r>
            <w:r/>
          </w:p>
          <w:p>
            <w:pPr>
              <w:ind w:firstLine="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2、投标人具有信息系统安全运维服务证书的，得2分；</w:t>
            </w:r>
            <w:r/>
          </w:p>
          <w:p>
            <w:pPr>
              <w:ind w:firstLine="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3、投标人具有符合GB/T 27922-2011标准的商品售后服务评价体系认证证书，得2分；</w:t>
            </w:r>
            <w:r/>
          </w:p>
          <w:p>
            <w:pPr>
              <w:ind w:firstLine="482"/>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注：上述1-3项上述须提供相应证书（有效期内）扫描件并加盖公章且提供国家认监委网站查询截图上传至电子投标文件中，否则不得分。(查询地址： http://www.cnca.gov.cn/)。</w:t>
            </w:r>
            <w:r/>
          </w:p>
        </w:tc>
      </w:tr>
      <w:tr>
        <w:trPr>
          <w:jc w:val="center"/>
          <w:trHeight w:val="621"/>
        </w:trPr>
        <w:tc>
          <w:tcPr>
            <w:tcW w:w="1660" w:type="dxa"/>
            <w:vAlign w:val="center"/>
            <w:textDirection w:val="lrTb"/>
            <w:noWrap/>
          </w:tcPr>
          <w:p>
            <w:pPr>
              <w:ind w:firstLine="0"/>
              <w:jc w:val="center"/>
              <w:keepLines w:val="0"/>
              <w:keepNext w:val="0"/>
              <w:pageBreakBefore w:val="0"/>
              <w:spacing w:line="276" w:lineRule="auto"/>
              <w:rPr>
                <w:rFonts w:hint="eastAsia" w:ascii="宋体" w:hAnsi="宋体" w:eastAsia="宋体" w:cs="宋体"/>
                <w:b/>
                <w:color w:val="auto"/>
                <w:spacing w:val="-8"/>
                <w:sz w:val="24"/>
                <w:szCs w:val="24"/>
                <w:highlight w:val="none"/>
                <w:lang w:val="en-US" w:eastAsia="zh-CN" w:bidi="ar-SA"/>
              </w:rPr>
            </w:pPr>
            <w:r>
              <w:rPr>
                <w:rFonts w:hint="eastAsia" w:ascii="宋体" w:hAnsi="宋体" w:eastAsia="宋体" w:cs="宋体"/>
                <w:b/>
                <w:color w:val="auto"/>
                <w:spacing w:val="-8"/>
                <w:sz w:val="24"/>
                <w:szCs w:val="24"/>
                <w:highlight w:val="none"/>
                <w:lang w:val="en-US" w:eastAsia="zh-CN" w:bidi="ar-SA"/>
              </w:rPr>
              <w:t xml:space="preserve">产品性能及可靠性</w:t>
            </w:r>
            <w:r/>
          </w:p>
          <w:p>
            <w:pPr>
              <w:ind w:firstLine="0"/>
              <w:jc w:val="center"/>
              <w:keepLines w:val="0"/>
              <w:keepNext w:val="0"/>
              <w:pageBreakBefore w:val="0"/>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pacing w:val="-8"/>
                <w:sz w:val="24"/>
                <w:szCs w:val="24"/>
                <w:highlight w:val="none"/>
                <w:lang w:val="en-US" w:eastAsia="zh-CN" w:bidi="ar-SA"/>
              </w:rPr>
              <w:t xml:space="preserve">（8分）</w:t>
            </w:r>
            <w:r/>
          </w:p>
        </w:tc>
        <w:tc>
          <w:tcPr>
            <w:tcW w:w="6845" w:type="dxa"/>
            <w:vAlign w:val="center"/>
            <w:textDirection w:val="lrTb"/>
            <w:noWrap/>
          </w:tcPr>
          <w:p>
            <w:pPr>
              <w:ind w:firstLine="0"/>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1、投标人或所投产品生产制造商具有智慧校园、数据中心、后勤管理、实习管理、自学考试、社区教育门户、社区教育应用管理、继续教育的计算机软件著作权证书；每提供一个得1分，最高得6分。</w:t>
            </w:r>
            <w:r/>
          </w:p>
          <w:p>
            <w:pPr>
              <w:ind w:firstLine="0"/>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2、投标人或所投产品生产制造商具备国产化适配证明（或</w:t>
            </w:r>
            <w:r>
              <w:rPr>
                <w:rStyle w:val="792"/>
                <w:rFonts w:ascii="宋体" w:hAnsi="宋体" w:eastAsia="宋体" w:cs="宋体"/>
                <w:color w:val="000000"/>
                <w:sz w:val="24"/>
                <w:szCs w:val="24"/>
              </w:rPr>
              <w:t xml:space="preserve">兼容互认证明</w:t>
            </w:r>
            <w:r>
              <w:rPr>
                <w:rStyle w:val="792"/>
                <w:rFonts w:hint="eastAsia" w:ascii="宋体" w:hAnsi="宋体" w:eastAsia="宋体" w:cs="宋体"/>
                <w:color w:val="000000"/>
                <w:sz w:val="24"/>
                <w:szCs w:val="24"/>
                <w:lang w:val="en-US" w:eastAsia="zh-CN"/>
              </w:rPr>
              <w:t xml:space="preserve">或</w:t>
            </w:r>
            <w:r>
              <w:rPr>
                <w:rStyle w:val="792"/>
                <w:rFonts w:ascii="宋体" w:hAnsi="宋体" w:eastAsia="宋体" w:cs="宋体"/>
                <w:color w:val="000000"/>
                <w:sz w:val="24"/>
                <w:szCs w:val="24"/>
              </w:rPr>
              <w:t xml:space="preserve">信创适配证书</w:t>
            </w:r>
            <w:r>
              <w:rPr>
                <w:rFonts w:hint="eastAsia" w:ascii="宋体" w:hAnsi="宋体" w:eastAsia="宋体" w:cs="宋体"/>
                <w:color w:val="auto"/>
                <w:sz w:val="24"/>
                <w:highlight w:val="none"/>
                <w:lang w:val="en-US" w:eastAsia="zh-CN" w:bidi="ar-SA"/>
              </w:rPr>
              <w:t xml:space="preserve">），每提供1个模块得1分，满分2分。</w:t>
            </w:r>
            <w:r/>
          </w:p>
          <w:p>
            <w:pPr>
              <w:ind w:firstLine="0"/>
              <w:keepLines w:val="0"/>
              <w:keepNext w:val="0"/>
              <w:pageBreakBefore w:val="0"/>
              <w:spacing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注：（1）软著名称不完全一致，但功能相近的，由评标委员会统一认定。</w:t>
            </w:r>
            <w:r/>
          </w:p>
          <w:p>
            <w:pPr>
              <w:ind w:firstLine="0"/>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（2）上述1-2项投标文件中提供证书或证明材料扫描件并加盖投标人公章，否则不得分。</w:t>
            </w:r>
            <w:r/>
          </w:p>
        </w:tc>
      </w:tr>
      <w:tr>
        <w:trPr>
          <w:jc w:val="center"/>
          <w:trHeight w:val="621"/>
        </w:trPr>
        <w:tc>
          <w:tcPr>
            <w:tcW w:w="1660" w:type="dxa"/>
            <w:vAlign w:val="center"/>
            <w:textDirection w:val="lrTb"/>
            <w:noWrap/>
          </w:tcPr>
          <w:p>
            <w:pPr>
              <w:ind w:firstLine="0"/>
              <w:jc w:val="center"/>
              <w:keepLines w:val="0"/>
              <w:keepNext w:val="0"/>
              <w:pageBreakBefore w:val="0"/>
              <w:spacing w:line="276" w:lineRule="auto"/>
              <w:rPr>
                <w:rFonts w:hint="default" w:ascii="宋体" w:hAnsi="宋体" w:eastAsia="宋体" w:cs="宋体"/>
                <w:b/>
                <w:color w:val="auto"/>
                <w:spacing w:val="-8"/>
                <w:sz w:val="24"/>
                <w:szCs w:val="24"/>
                <w:highlight w:val="none"/>
                <w:lang w:val="en-US" w:eastAsia="zh-CN" w:bidi="ar-SA"/>
              </w:rPr>
            </w:pPr>
            <w:r>
              <w:rPr>
                <w:rFonts w:hint="eastAsia" w:ascii="宋体" w:hAnsi="宋体" w:eastAsia="宋体" w:cs="宋体"/>
                <w:b/>
                <w:color w:val="auto"/>
                <w:spacing w:val="-8"/>
                <w:sz w:val="24"/>
                <w:szCs w:val="24"/>
                <w:highlight w:val="none"/>
                <w:lang w:val="en-US" w:eastAsia="zh-CN" w:bidi="ar-SA"/>
              </w:rPr>
              <w:t xml:space="preserve">业绩（4分）</w:t>
            </w:r>
            <w:r/>
          </w:p>
        </w:tc>
        <w:tc>
          <w:tcPr>
            <w:tcW w:w="6845" w:type="dxa"/>
            <w:vAlign w:val="center"/>
            <w:textDirection w:val="lrTb"/>
            <w:noWrap/>
          </w:tcPr>
          <w:p>
            <w:pPr>
              <w:ind w:firstLine="0"/>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自2023年1月1日（含）以来（以合同签订时间为准），投标人承担过类似项目业绩的，每提供一个得2分，本项最高得4分。</w:t>
            </w:r>
            <w:r/>
          </w:p>
          <w:p>
            <w:pPr>
              <w:pStyle w:val="786"/>
              <w:keepLines w:val="0"/>
              <w:keepNext w:val="0"/>
              <w:spacing w:before="0" w:beforeAutospacing="0" w:after="0" w:afterAutospacing="0" w:line="360" w:lineRule="auto"/>
              <w:widowControl w:val="off"/>
              <w:rPr>
                <w:rFonts w:hint="eastAsia" w:ascii="宋体" w:hAnsi="宋体" w:eastAsia="宋体" w:cs="宋体"/>
                <w:color w:val="auto"/>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注：</w:t>
            </w:r>
            <w:r>
              <w:rPr>
                <w:rFonts w:hint="eastAsia" w:ascii="宋体" w:hAnsi="宋体" w:eastAsia="宋体" w:cs="宋体"/>
                <w:b/>
                <w:bCs/>
                <w:color w:val="000000"/>
                <w:sz w:val="24"/>
                <w:szCs w:val="24"/>
              </w:rPr>
              <w:t xml:space="preserve">投标文件中提供合同扫描件并加盖公章。合同页须清晰可见相应内容、合同签订时间及合同双方盖章，未提供或未按要求提供此项不得分）</w:t>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49"/>
        <w:ind w:left="0" w:right="0"/>
        <w:jc w:val="center"/>
        <w:pageBreakBefore w:val="0"/>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both"/>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jc w:val="center"/>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firstLine="1084"/>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left="0" w:right="0" w:firstLine="1084"/>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一、法人或者其他组织的营业执照等证明文件，自然人的身份证明</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6"/>
          <w:highlight w:val="none"/>
          <w:u w:val="single"/>
        </w:rPr>
      </w:pPr>
      <w:r>
        <w:rPr>
          <w:rFonts w:hint="eastAsia" w:ascii="宋体" w:hAnsi="宋体" w:eastAsia="宋体" w:cs="宋体"/>
          <w:i/>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二、具有良好的商业信誉和健全的财务会计制度</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三、依法缴纳税收和社会保障资金的相关材料</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财务状况报告及税收、社会保障资金缴纳情况承诺函</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lang w:eastAsia="zh-CN"/>
        </w:rPr>
        <w:t xml:space="preserve">采购人</w:t>
      </w:r>
      <w:r>
        <w:rPr>
          <w:rFonts w:hint="eastAsia" w:ascii="宋体" w:hAnsi="宋体" w:eastAsia="宋体" w:cs="宋体"/>
          <w:i/>
          <w:color w:val="auto"/>
          <w:sz w:val="24"/>
          <w:szCs w:val="24"/>
          <w:highlight w:val="none"/>
          <w:u w:val="single"/>
        </w:rPr>
        <w:t xml:space="preserve">名称</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lang w:eastAsia="zh-CN"/>
        </w:rPr>
        <w:t xml:space="preserve">投标人</w:t>
      </w:r>
      <w:r>
        <w:rPr>
          <w:rFonts w:hint="eastAsia" w:ascii="宋体" w:hAnsi="宋体" w:eastAsia="宋体" w:cs="宋体"/>
          <w:i/>
          <w:color w:val="auto"/>
          <w:sz w:val="24"/>
          <w:szCs w:val="24"/>
          <w:highlight w:val="none"/>
          <w:u w:val="single"/>
        </w:rPr>
        <w:t xml:space="preserve">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i/>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四、具备履行合同所必需的设备和专业技术能力的声明及证明材料</w:t>
      </w:r>
      <w:r/>
    </w:p>
    <w:p>
      <w:pPr>
        <w:ind w:left="0" w:right="0"/>
        <w:jc w:val="center"/>
        <w:pageBreakBefore w:val="0"/>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具备履行合同所必需的设备和专业技术能力的声明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五、参加政府采购活动前3年内在经营活动中没有重大违法记录的书面声明</w:t>
      </w:r>
      <w:r/>
    </w:p>
    <w:p>
      <w:pPr>
        <w:ind w:left="0" w:right="0"/>
        <w:jc w:val="center"/>
        <w:pageBreakBefore w:val="0"/>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六、法律、行政法规规定的其他条件的证明文件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七、落实政府采购政策需满足的资格要求的证明文件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八、特定资格要求的证明文件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color w:val="auto"/>
          <w:sz w:val="28"/>
          <w:szCs w:val="28"/>
          <w:highlight w:val="none"/>
          <w:u w:val="single"/>
        </w:rPr>
        <w:t xml:space="preserve">九、授权委托书与法定代表人（单位负责人）身份证明</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项目（项目编号：）投标文件和处理有关事宜，其法律后果由我方承担。</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为事业单位或其他组织或分支机构（仅当招标文件注明允许分支机构投标的），则法定代表人（单位负责人）处的签署人可为单位负责人。</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为自然人的情形，可不提供本《授权委托书》。</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ind w:left="0" w:right="0"/>
        <w:pageBreakBefore w:val="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0" w:right="0"/>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姓名：性别：年龄：职务：</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十、投标函</w:t>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ind w:left="0" w:right="0"/>
        <w:jc w:val="left"/>
        <w:pageBreakBefore w:val="0"/>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val="en-US" w:eastAsia="zh-CN"/>
        </w:rPr>
        <w:t xml:space="preserve">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1.按招标文件规定的各项要求，向买方提供所需货物（包含与货物相关的工程、服务）。</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我方将根据招标文件的规定，严格履行合同的责任和义务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并保证在招标文件规定的时间完成项目，交付买方验收、使用。</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十一、中小企业声明函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3、中标人的《中小企业声明函》随中标结果公开，接受社会监督。</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十二、残疾人福利性单位声明函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left="0" w:right="0" w:firstLine="480"/>
        <w:jc w:val="left"/>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ind w:left="0" w:right="0"/>
        <w:jc w:val="left"/>
        <w:keepLines/>
        <w:keepNext/>
        <w:pageBreakBefore w:val="0"/>
        <w:spacing w:line="360" w:lineRule="auto"/>
        <w:rPr>
          <w:rFonts w:hint="default" w:ascii="宋体" w:hAnsi="宋体" w:eastAsia="宋体" w:cs="宋体"/>
          <w:i/>
          <w:color w:val="auto"/>
          <w:sz w:val="28"/>
          <w:szCs w:val="28"/>
          <w:highlight w:val="none"/>
          <w:u w:val="single"/>
          <w:lang w:val="en-US" w:eastAsia="zh-CN"/>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三</w:t>
      </w:r>
      <w:r>
        <w:rPr>
          <w:rFonts w:hint="eastAsia" w:ascii="宋体" w:hAnsi="宋体" w:eastAsia="宋体" w:cs="宋体"/>
          <w:i/>
          <w:color w:val="auto"/>
          <w:sz w:val="28"/>
          <w:szCs w:val="28"/>
          <w:highlight w:val="none"/>
          <w:u w:val="single"/>
        </w:rPr>
        <w:t xml:space="preserve">、投标分项报价表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ind w:left="0"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rPr>
          <w:rFonts w:hint="eastAsia" w:ascii="宋体" w:hAnsi="宋体" w:eastAsia="宋体" w:cs="宋体"/>
          <w:color w:val="auto"/>
          <w:sz w:val="21"/>
          <w:szCs w:val="21"/>
          <w:highlight w:val="none"/>
          <w:lang w:val="en-US" w:eastAsia="zh-CN"/>
        </w:rPr>
        <w:t xml:space="preserve">   项目编号：                                  </w:t>
      </w:r>
      <w:r>
        <w:rPr>
          <w:rFonts w:hint="eastAsia" w:ascii="宋体" w:hAnsi="宋体" w:eastAsia="宋体" w:cs="宋体"/>
          <w:color w:val="auto"/>
          <w:sz w:val="21"/>
          <w:szCs w:val="21"/>
          <w:highlight w:val="none"/>
        </w:rPr>
        <w:t xml:space="preserve">单位：元</w:t>
      </w:r>
      <w:r/>
    </w:p>
    <w:tbl>
      <w:tblPr>
        <w:tblStyle w:val="759"/>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jc w:val="center"/>
          <w:trHeight w:val="990"/>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12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w:t>
            </w:r>
            <w:r>
              <w:rPr>
                <w:rFonts w:hint="eastAsia" w:ascii="宋体" w:hAnsi="宋体" w:eastAsia="宋体" w:cs="宋体"/>
                <w:bCs/>
                <w:color w:val="auto"/>
                <w:szCs w:val="24"/>
                <w:highlight w:val="none"/>
                <w:lang w:val="en-US" w:eastAsia="zh-CN"/>
              </w:rPr>
              <w:t xml:space="preserve">  </w:t>
            </w:r>
            <w:r>
              <w:rPr>
                <w:rFonts w:hint="eastAsia" w:ascii="宋体" w:hAnsi="宋体" w:eastAsia="宋体" w:cs="宋体"/>
                <w:bCs/>
                <w:color w:val="auto"/>
                <w:szCs w:val="24"/>
                <w:highlight w:val="none"/>
              </w:rPr>
              <w:t xml:space="preserve">（标的）名称</w:t>
            </w:r>
            <w:r/>
          </w:p>
        </w:tc>
        <w:tc>
          <w:tcPr>
            <w:tcW w:w="70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21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
                <w:bCs w:val="0"/>
                <w:color w:val="auto"/>
                <w:szCs w:val="24"/>
                <w:highlight w:val="none"/>
              </w:rPr>
              <w:t xml:space="preserve">是否符合本国产品标准</w:t>
            </w:r>
            <w:r/>
          </w:p>
        </w:tc>
        <w:tc>
          <w:tcPr>
            <w:tcW w:w="82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tcW w:w="768"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927"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8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6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7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793"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5284"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5"/>
            <w:tcW w:w="4015"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ind w:left="0" w:right="0"/>
        <w:pageBreakBefore w:val="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left="0"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但不限于人员费用、全部硬件设备、软件系统安装、辅助材料、备品、备件、机械、运输、现场安装调试、人员培训、管理、维护、利润、技术支持、税金、保险、售后服务、政策性文件规定及合同包含的所有风险、责任等所有含税费用。同时，还应包含支付给员工的工资和国家强制缴纳的各种社会保障资金，以及投标人认为需要的其他费用等；总价作为定标的依据，各项综合单价作为据实结算的依据。</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如实、正确填写本表，所填内容将作为评审的依据，其内容应与对应的证明资料相符。</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4、行数或事项不够，可自行增加。</w:t>
      </w:r>
      <w:r/>
    </w:p>
    <w:p>
      <w:pPr>
        <w:pStyle w:val="995"/>
        <w:numPr>
          <w:ilvl w:val="0"/>
          <w:numId w:val="0"/>
        </w:numPr>
        <w:jc w:val="center"/>
        <w:spacing w:line="360" w:lineRule="auto"/>
        <w:rPr>
          <w:rFonts w:hint="eastAsia" w:ascii="宋体" w:hAnsi="宋体" w:cs="宋体"/>
          <w:b w:val="0"/>
          <w:bCs w:val="0"/>
          <w:color w:val="auto"/>
          <w:sz w:val="32"/>
          <w:szCs w:val="32"/>
          <w:highlight w:val="none"/>
        </w:rPr>
      </w:pPr>
      <w:r>
        <w:rPr>
          <w:rFonts w:hint="eastAsia" w:ascii="宋体" w:hAnsi="宋体" w:eastAsia="宋体" w:cs="宋体"/>
          <w:i/>
          <w:iCs/>
          <w:color w:val="auto"/>
          <w:sz w:val="36"/>
          <w:highlight w:val="none"/>
          <w:u w:val="single"/>
        </w:rPr>
        <w:br w:type="page" w:clear="all"/>
      </w:r>
      <w:r>
        <w:rPr>
          <w:rFonts w:hint="eastAsia" w:ascii="宋体" w:hAnsi="宋体" w:cs="宋体"/>
          <w:b w:val="0"/>
          <w:bCs w:val="0"/>
          <w:color w:val="auto"/>
          <w:sz w:val="32"/>
          <w:szCs w:val="32"/>
          <w:highlight w:val="none"/>
        </w:rPr>
        <w:t xml:space="preserve">投标报价汇总表</w:t>
      </w:r>
      <w:r/>
    </w:p>
    <w:p>
      <w:pPr>
        <w:ind w:right="32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单位：(人民币)元</w:t>
      </w:r>
      <w:r/>
    </w:p>
    <w:tbl>
      <w:tblPr>
        <w:tblStyle w:val="759"/>
        <w:tblW w:w="943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3551"/>
        <w:gridCol w:w="937"/>
        <w:gridCol w:w="988"/>
        <w:gridCol w:w="1283"/>
        <w:gridCol w:w="1800"/>
      </w:tblGrid>
      <w:tr>
        <w:trPr>
          <w:trHeight w:val="512"/>
        </w:trPr>
        <w:tc>
          <w:tcPr>
            <w:tcW w:w="879"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W w:w="3551"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模块名称</w:t>
            </w:r>
            <w:r/>
          </w:p>
        </w:tc>
        <w:tc>
          <w:tcPr>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数量</w:t>
            </w:r>
            <w:r/>
          </w:p>
        </w:tc>
        <w:tc>
          <w:tcPr>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w:t>
            </w:r>
            <w:r/>
          </w:p>
        </w:tc>
        <w:tc>
          <w:tcPr>
            <w:tcW w:w="1283" w:type="dxa"/>
            <w:vAlign w:val="center"/>
            <w:textDirection w:val="lrTb"/>
            <w:noWrap w:val="false"/>
          </w:tcPr>
          <w:p>
            <w:pPr>
              <w:ind w:firstLine="0"/>
              <w:jc w:val="center"/>
              <w:keepLines w:val="0"/>
              <w:keepNext w:val="0"/>
              <w:pageBreakBefore w:val="0"/>
              <w:spacing w:after="160" w:line="400" w:lineRule="exact"/>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单价</w:t>
            </w:r>
            <w:r/>
          </w:p>
        </w:tc>
        <w:tc>
          <w:tcPr>
            <w:tcW w:w="1800" w:type="dxa"/>
            <w:vAlign w:val="center"/>
            <w:textDirection w:val="lrTb"/>
            <w:noWrap w:val="false"/>
          </w:tcPr>
          <w:p>
            <w:pPr>
              <w:ind w:firstLine="0"/>
              <w:jc w:val="center"/>
              <w:keepLines w:val="0"/>
              <w:keepNext w:val="0"/>
              <w:pageBreakBefore w:val="0"/>
              <w:spacing w:after="160" w:line="400" w:lineRule="exact"/>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总价</w:t>
            </w:r>
            <w:r/>
          </w:p>
        </w:tc>
      </w:tr>
      <w:tr>
        <w:trPr>
          <w:trHeight w:val="870"/>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pacing w:val="8"/>
                <w:sz w:val="24"/>
                <w:szCs w:val="24"/>
                <w:highlight w:val="none"/>
                <w:lang w:val="en-US" w:eastAsia="zh-CN" w:bidi="ar-SA"/>
              </w:rPr>
              <w:t xml:space="preserve">智慧校园全量数据中台及数据治理</w:t>
            </w:r>
            <w:r/>
          </w:p>
        </w:tc>
        <w:tc>
          <w:tcPr>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1</w:t>
            </w:r>
            <w:r/>
          </w:p>
        </w:tc>
        <w:tc>
          <w:tcPr>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项</w:t>
            </w:r>
            <w:r/>
          </w:p>
        </w:tc>
        <w:tc>
          <w:tcPr>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870"/>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微服务基础平台及配套应用</w:t>
            </w:r>
            <w:r/>
          </w:p>
        </w:tc>
        <w:tc>
          <w:tcPr>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1</w:t>
            </w:r>
            <w:r/>
          </w:p>
        </w:tc>
        <w:tc>
          <w:tcPr>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项</w:t>
            </w:r>
            <w:r/>
          </w:p>
        </w:tc>
        <w:tc>
          <w:tcPr>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12"/>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一体化门户（办事大厅）</w:t>
            </w:r>
            <w:r/>
          </w:p>
        </w:tc>
        <w:tc>
          <w:tcPr>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1</w:t>
            </w:r>
            <w:r/>
          </w:p>
        </w:tc>
        <w:tc>
          <w:tcPr>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项</w:t>
            </w:r>
            <w:r/>
          </w:p>
        </w:tc>
        <w:tc>
          <w:tcPr>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12"/>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智慧教学系统</w:t>
            </w:r>
            <w:r/>
          </w:p>
          <w:p>
            <w:pPr>
              <w:pStyle w:val="760"/>
              <w:rPr>
                <w:rFonts w:hint="eastAsia"/>
                <w:color w:val="auto"/>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（整合已有系统）</w:t>
            </w:r>
            <w:r/>
          </w:p>
        </w:tc>
        <w:tc>
          <w:tcPr>
            <w:shd w:val="clear" w:color="auto" w:fill="auto"/>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en-US" w:bidi="ar-SA"/>
              </w:rPr>
            </w:pPr>
            <w:r>
              <w:rPr>
                <w:rFonts w:hint="eastAsia" w:ascii="仿宋" w:hAnsi="仿宋" w:eastAsia="仿宋" w:cs="仿宋"/>
                <w:b w:val="0"/>
                <w:bCs w:val="0"/>
                <w:color w:val="auto"/>
                <w:sz w:val="24"/>
                <w:szCs w:val="24"/>
                <w:highlight w:val="none"/>
                <w:lang w:val="en-US" w:eastAsia="en-US" w:bidi="ar-SA"/>
              </w:rPr>
              <w:t xml:space="preserve">1</w:t>
            </w:r>
            <w:r/>
          </w:p>
        </w:tc>
        <w:tc>
          <w:tcPr>
            <w:shd w:val="clear" w:color="auto" w:fill="auto"/>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en-US" w:bidi="ar-SA"/>
              </w:rPr>
            </w:pPr>
            <w:r>
              <w:rPr>
                <w:rFonts w:hint="eastAsia" w:ascii="仿宋" w:hAnsi="仿宋" w:eastAsia="仿宋" w:cs="仿宋"/>
                <w:b w:val="0"/>
                <w:bCs w:val="0"/>
                <w:color w:val="auto"/>
                <w:sz w:val="24"/>
                <w:szCs w:val="24"/>
                <w:highlight w:val="none"/>
                <w:lang w:val="en-US" w:eastAsia="en-US" w:bidi="ar-SA"/>
              </w:rPr>
              <w:t xml:space="preserve">项</w:t>
            </w:r>
            <w:r/>
          </w:p>
        </w:tc>
        <w:tc>
          <w:tcPr>
            <w:shd w:val="clear" w:color="auto" w:fill="auto"/>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12"/>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教务管理系统</w:t>
            </w:r>
            <w:r/>
          </w:p>
          <w:p>
            <w:pPr>
              <w:pStyle w:val="760"/>
              <w:rPr>
                <w:rFonts w:hint="eastAsia"/>
                <w:color w:val="auto"/>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（整合已有系统）</w:t>
            </w:r>
            <w:r/>
          </w:p>
        </w:tc>
        <w:tc>
          <w:tcPr>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1</w:t>
            </w:r>
            <w:r/>
          </w:p>
        </w:tc>
        <w:tc>
          <w:tcPr>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项</w:t>
            </w:r>
            <w:r/>
          </w:p>
        </w:tc>
        <w:tc>
          <w:tcPr>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12"/>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学生工作管理系统</w:t>
            </w:r>
            <w:r/>
          </w:p>
        </w:tc>
        <w:tc>
          <w:tcPr>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1</w:t>
            </w:r>
            <w:r/>
          </w:p>
        </w:tc>
        <w:tc>
          <w:tcPr>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项</w:t>
            </w:r>
            <w:r/>
          </w:p>
        </w:tc>
        <w:tc>
          <w:tcPr>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12"/>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宿舍管理系统</w:t>
            </w:r>
            <w:r/>
          </w:p>
        </w:tc>
        <w:tc>
          <w:tcPr>
            <w:shd w:val="clear" w:color="auto" w:fill="auto"/>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en-US" w:bidi="ar-SA"/>
              </w:rPr>
            </w:pPr>
            <w:r>
              <w:rPr>
                <w:rFonts w:hint="eastAsia" w:ascii="仿宋" w:hAnsi="仿宋" w:eastAsia="仿宋" w:cs="仿宋"/>
                <w:b w:val="0"/>
                <w:bCs w:val="0"/>
                <w:color w:val="auto"/>
                <w:sz w:val="24"/>
                <w:szCs w:val="24"/>
                <w:highlight w:val="none"/>
                <w:lang w:val="en-US" w:eastAsia="en-US" w:bidi="ar-SA"/>
              </w:rPr>
              <w:t xml:space="preserve">1</w:t>
            </w:r>
            <w:r/>
          </w:p>
        </w:tc>
        <w:tc>
          <w:tcPr>
            <w:shd w:val="clear" w:color="auto" w:fill="auto"/>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en-US" w:bidi="ar-SA"/>
              </w:rPr>
            </w:pPr>
            <w:r>
              <w:rPr>
                <w:rFonts w:hint="eastAsia" w:ascii="仿宋" w:hAnsi="仿宋" w:eastAsia="仿宋" w:cs="仿宋"/>
                <w:b w:val="0"/>
                <w:bCs w:val="0"/>
                <w:color w:val="auto"/>
                <w:sz w:val="24"/>
                <w:szCs w:val="24"/>
                <w:highlight w:val="none"/>
                <w:lang w:val="en-US" w:eastAsia="en-US" w:bidi="ar-SA"/>
              </w:rPr>
              <w:t xml:space="preserve">项</w:t>
            </w:r>
            <w:r/>
          </w:p>
        </w:tc>
        <w:tc>
          <w:tcPr>
            <w:shd w:val="clear" w:color="auto" w:fill="auto"/>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12"/>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实习管理系统</w:t>
            </w:r>
            <w:r/>
          </w:p>
        </w:tc>
        <w:tc>
          <w:tcPr>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1</w:t>
            </w:r>
            <w:r/>
          </w:p>
        </w:tc>
        <w:tc>
          <w:tcPr>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项</w:t>
            </w:r>
            <w:r/>
          </w:p>
        </w:tc>
        <w:tc>
          <w:tcPr>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12"/>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就业管理系统</w:t>
            </w:r>
            <w:r/>
          </w:p>
        </w:tc>
        <w:tc>
          <w:tcPr>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1</w:t>
            </w:r>
            <w:r/>
          </w:p>
        </w:tc>
        <w:tc>
          <w:tcPr>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项</w:t>
            </w:r>
            <w:r/>
          </w:p>
        </w:tc>
        <w:tc>
          <w:tcPr>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12"/>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党建管理系统</w:t>
            </w:r>
            <w:r/>
          </w:p>
        </w:tc>
        <w:tc>
          <w:tcPr>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1</w:t>
            </w:r>
            <w:r/>
          </w:p>
        </w:tc>
        <w:tc>
          <w:tcPr>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项</w:t>
            </w:r>
            <w:r/>
          </w:p>
        </w:tc>
        <w:tc>
          <w:tcPr>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12"/>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教科研管理系统</w:t>
            </w:r>
            <w:r/>
          </w:p>
        </w:tc>
        <w:tc>
          <w:tcPr>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1</w:t>
            </w:r>
            <w:r/>
          </w:p>
        </w:tc>
        <w:tc>
          <w:tcPr>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项</w:t>
            </w:r>
            <w:r/>
          </w:p>
        </w:tc>
        <w:tc>
          <w:tcPr>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12"/>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图书馆管理系统</w:t>
            </w:r>
            <w:r/>
          </w:p>
        </w:tc>
        <w:tc>
          <w:tcPr>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1</w:t>
            </w:r>
            <w:r/>
          </w:p>
        </w:tc>
        <w:tc>
          <w:tcPr>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项</w:t>
            </w:r>
            <w:r/>
          </w:p>
        </w:tc>
        <w:tc>
          <w:tcPr>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12"/>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专业教学资源库系统</w:t>
            </w:r>
            <w:r/>
          </w:p>
        </w:tc>
        <w:tc>
          <w:tcPr>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en-US" w:bidi="ar-SA"/>
              </w:rPr>
            </w:pPr>
            <w:r>
              <w:rPr>
                <w:rFonts w:hint="eastAsia" w:ascii="仿宋" w:hAnsi="仿宋" w:eastAsia="仿宋" w:cs="仿宋"/>
                <w:b w:val="0"/>
                <w:bCs w:val="0"/>
                <w:color w:val="auto"/>
                <w:sz w:val="24"/>
                <w:szCs w:val="24"/>
                <w:highlight w:val="none"/>
                <w:lang w:val="en-US" w:eastAsia="en-US" w:bidi="ar-SA"/>
              </w:rPr>
              <w:t xml:space="preserve">1</w:t>
            </w:r>
            <w:r/>
          </w:p>
        </w:tc>
        <w:tc>
          <w:tcPr>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en-US" w:bidi="ar-SA"/>
              </w:rPr>
            </w:pPr>
            <w:r>
              <w:rPr>
                <w:rFonts w:hint="eastAsia" w:ascii="仿宋" w:hAnsi="仿宋" w:eastAsia="仿宋" w:cs="仿宋"/>
                <w:b w:val="0"/>
                <w:bCs w:val="0"/>
                <w:color w:val="auto"/>
                <w:sz w:val="24"/>
                <w:szCs w:val="24"/>
                <w:highlight w:val="none"/>
                <w:lang w:val="en-US" w:eastAsia="en-US" w:bidi="ar-SA"/>
              </w:rPr>
              <w:t xml:space="preserve">项</w:t>
            </w:r>
            <w:r/>
          </w:p>
        </w:tc>
        <w:tc>
          <w:tcPr>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12"/>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教师课程引用资源中心</w:t>
            </w:r>
            <w:r/>
          </w:p>
        </w:tc>
        <w:tc>
          <w:tcPr>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1</w:t>
            </w:r>
            <w:r/>
          </w:p>
        </w:tc>
        <w:tc>
          <w:tcPr>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项</w:t>
            </w:r>
            <w:r/>
          </w:p>
        </w:tc>
        <w:tc>
          <w:tcPr>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12"/>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pacing w:val="-7"/>
                <w:sz w:val="24"/>
                <w:szCs w:val="24"/>
                <w:highlight w:val="none"/>
                <w:lang w:val="en-US" w:eastAsia="zh-CN" w:bidi="ar-SA"/>
              </w:rPr>
            </w:pPr>
            <w:r>
              <w:rPr>
                <w:rFonts w:hint="eastAsia" w:ascii="仿宋" w:hAnsi="仿宋" w:eastAsia="仿宋" w:cs="仿宋"/>
                <w:color w:val="auto"/>
                <w:spacing w:val="-7"/>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大数据看板</w:t>
            </w:r>
            <w:r/>
          </w:p>
        </w:tc>
        <w:tc>
          <w:tcPr>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项</w:t>
            </w:r>
            <w:r/>
          </w:p>
        </w:tc>
        <w:tc>
          <w:tcPr>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20"/>
        </w:trPr>
        <w:tc>
          <w:tcPr>
            <w:tcW w:w="879" w:type="dxa"/>
            <w:vAlign w:val="center"/>
            <w:textDirection w:val="lrTb"/>
            <w:noWrap w:val="false"/>
          </w:tcPr>
          <w:p>
            <w:pPr>
              <w:numPr>
                <w:ilvl w:val="0"/>
                <w:numId w:val="31"/>
              </w:numPr>
              <w:ind w:left="0" w:firstLine="0"/>
              <w:jc w:val="center"/>
              <w:keepLines w:val="0"/>
              <w:keepNext w:val="0"/>
              <w:pageBreakBefore w:val="0"/>
              <w:spacing w:after="160"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3551" w:type="dxa"/>
            <w:vAlign w:val="center"/>
            <w:textDirection w:val="lrTb"/>
            <w:noWrap w:val="false"/>
          </w:tcPr>
          <w:p>
            <w:pPr>
              <w:ind w:firstLine="0"/>
              <w:jc w:val="center"/>
              <w:keepLines w:val="0"/>
              <w:keepNext w:val="0"/>
              <w:pageBreakBefore w:val="0"/>
              <w:spacing w:after="160" w:line="40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AI智能体系统</w:t>
            </w:r>
            <w:r/>
          </w:p>
        </w:tc>
        <w:tc>
          <w:tcPr>
            <w:shd w:val="clear" w:color="auto" w:fill="auto"/>
            <w:tcW w:w="937"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W w:w="988" w:type="dxa"/>
            <w:vAlign w:val="center"/>
            <w:textDirection w:val="lrTb"/>
            <w:noWrap w:val="false"/>
          </w:tcPr>
          <w:p>
            <w:pPr>
              <w:ind w:firstLine="0"/>
              <w:jc w:val="center"/>
              <w:keepLines w:val="0"/>
              <w:keepNext w:val="0"/>
              <w:pageBreakBefore w:val="0"/>
              <w:spacing w:after="160" w:line="40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项</w:t>
            </w:r>
            <w:r/>
          </w:p>
        </w:tc>
        <w:tc>
          <w:tcPr>
            <w:shd w:val="clear" w:color="auto" w:fill="auto"/>
            <w:tcW w:w="1283"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520"/>
        </w:trPr>
        <w:tc>
          <w:tcPr>
            <w:gridSpan w:val="5"/>
            <w:tcW w:w="7638" w:type="dxa"/>
            <w:vAlign w:val="center"/>
            <w:textDirection w:val="lrTb"/>
            <w:noWrap w:val="false"/>
          </w:tcPr>
          <w:p>
            <w:pPr>
              <w:ind w:firstLine="0"/>
              <w:jc w:val="center"/>
              <w:keepLines w:val="0"/>
              <w:keepNext w:val="0"/>
              <w:pageBreakBefore w:val="0"/>
              <w:spacing w:after="160" w:line="400" w:lineRule="exact"/>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合计</w:t>
            </w:r>
            <w:r/>
          </w:p>
        </w:tc>
        <w:tc>
          <w:tcPr>
            <w:shd w:val="clear" w:color="auto" w:fill="auto"/>
            <w:tcW w:w="1800" w:type="dxa"/>
            <w:vAlign w:val="center"/>
            <w:textDirection w:val="lrTb"/>
            <w:noWrap w:val="false"/>
          </w:tcPr>
          <w:p>
            <w:pPr>
              <w:ind w:firstLine="0"/>
              <w:jc w:val="center"/>
              <w:keepLines w:val="0"/>
              <w:keepNext w:val="0"/>
              <w:pageBreakBefore w:val="0"/>
              <w:spacing w:after="160" w:line="4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bl>
    <w:p>
      <w:pPr>
        <w:pStyle w:val="790"/>
        <w:rPr>
          <w:rFonts w:hint="eastAsia"/>
          <w:color w:val="auto"/>
          <w:highlight w:val="none"/>
        </w:rPr>
      </w:pPr>
      <w:r>
        <w:rPr>
          <w:rFonts w:hint="eastAsia"/>
          <w:color w:val="auto"/>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r>
      <w:r/>
    </w:p>
    <w:p>
      <w:pPr>
        <w:ind w:left="0" w:right="0" w:firstLine="420"/>
        <w:pageBreakBefore w:val="0"/>
        <w:spacing w:line="360" w:lineRule="auto"/>
        <w:rPr>
          <w:rFonts w:hint="eastAsia" w:ascii="宋体" w:hAnsi="宋体" w:eastAsia="宋体" w:cs="宋体"/>
          <w:i/>
          <w:color w:val="auto"/>
          <w:sz w:val="28"/>
          <w:szCs w:val="28"/>
          <w:highlight w:val="none"/>
          <w:u w:val="single"/>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color w:val="auto"/>
          <w:sz w:val="24"/>
          <w:szCs w:val="24"/>
          <w:highlight w:val="none"/>
        </w:rPr>
        <w:t xml:space="preserve">本项目货物需求清单明细表中按单间配置标准列明数量，最终按货物采购清单汇总表的总间数相乘计算总数量</w:t>
      </w:r>
      <w:r>
        <w:rPr>
          <w:rFonts w:hint="eastAsia" w:ascii="宋体" w:hAnsi="宋体" w:eastAsia="宋体" w:cs="宋体"/>
          <w:b/>
          <w:bCs/>
          <w:color w:val="auto"/>
          <w:sz w:val="24"/>
          <w:szCs w:val="24"/>
          <w:highlight w:val="none"/>
          <w:lang w:val="en-US" w:eastAsia="zh-CN"/>
        </w:rPr>
        <w:t xml:space="preserve">及填写本项目投标总报价</w:t>
      </w:r>
      <w:r>
        <w:rPr>
          <w:rFonts w:ascii="宋体" w:hAnsi="宋体" w:eastAsia="宋体" w:cs="宋体"/>
          <w:b/>
          <w:bCs/>
          <w:color w:val="auto"/>
          <w:sz w:val="24"/>
          <w:szCs w:val="24"/>
          <w:highlight w:val="none"/>
        </w:rPr>
        <w:t xml:space="preserve">。</w:t>
      </w: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四</w:t>
      </w:r>
      <w:r>
        <w:rPr>
          <w:rFonts w:hint="eastAsia" w:ascii="宋体" w:hAnsi="宋体" w:eastAsia="宋体" w:cs="宋体"/>
          <w:i/>
          <w:color w:val="auto"/>
          <w:sz w:val="28"/>
          <w:szCs w:val="28"/>
          <w:highlight w:val="none"/>
          <w:u w:val="single"/>
        </w:rPr>
        <w:t xml:space="preserve">、关于符合本国产品标准的声明函</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4728"/>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keepLines w:val="0"/>
        <w:keepNext w:val="0"/>
        <w:pageBreakBefore w:val="0"/>
        <w:rPr>
          <w:rFonts w:hint="eastAsia" w:ascii="宋体" w:hAnsi="宋体" w:eastAsia="宋体" w:cs="宋体"/>
          <w:iCs/>
          <w:color w:val="auto"/>
          <w:sz w:val="21"/>
          <w:szCs w:val="21"/>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十五、</w:t>
      </w:r>
      <w:r>
        <w:rPr>
          <w:rFonts w:hint="eastAsia" w:ascii="宋体" w:hAnsi="宋体" w:eastAsia="宋体" w:cs="宋体"/>
          <w:i/>
          <w:color w:val="auto"/>
          <w:sz w:val="28"/>
          <w:szCs w:val="28"/>
          <w:highlight w:val="none"/>
          <w:u w:val="single"/>
        </w:rPr>
        <w:t xml:space="preserve">技术要求响应及偏离表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ind w:left="0" w:right="0" w:firstLine="480"/>
        <w:jc w:val="lef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w:t>
      </w:r>
      <w:r/>
    </w:p>
    <w:tbl>
      <w:tblPr>
        <w:tblStyle w:val="7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bookmarkStart w:id="32" w:name="_Hlt26955054"/>
      <w:r/>
      <w:bookmarkEnd w:id="32"/>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六</w:t>
      </w:r>
      <w:r>
        <w:rPr>
          <w:rFonts w:hint="eastAsia" w:ascii="宋体" w:hAnsi="宋体" w:eastAsia="宋体" w:cs="宋体"/>
          <w:i/>
          <w:color w:val="auto"/>
          <w:sz w:val="28"/>
          <w:szCs w:val="28"/>
          <w:highlight w:val="none"/>
          <w:u w:val="single"/>
        </w:rPr>
        <w:t xml:space="preserve">、商务要求响应及偏离表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75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bookmarkStart w:id="33" w:name="_Hlt26955064"/>
            <w:r/>
            <w:bookmarkEnd w:id="33"/>
            <w:r/>
            <w:bookmarkStart w:id="34" w:name="_Hlt26580838"/>
            <w:r/>
            <w:bookmarkEnd w:id="34"/>
            <w:r/>
            <w:bookmarkStart w:id="35" w:name="_Hlt26671343"/>
            <w:r/>
            <w:bookmarkEnd w:id="35"/>
            <w:r/>
            <w:bookmarkStart w:id="36" w:name="_Hlt26609391"/>
            <w:r/>
            <w:bookmarkEnd w:id="36"/>
            <w:r/>
            <w:bookmarkStart w:id="37" w:name="_Hlt26671372"/>
            <w:r/>
            <w:bookmarkEnd w:id="37"/>
            <w:r/>
            <w:bookmarkStart w:id="38" w:name="_Hlt26782999"/>
            <w:r/>
            <w:bookmarkEnd w:id="38"/>
            <w:r/>
            <w:bookmarkStart w:id="39" w:name="_Hlt26955056"/>
            <w:r/>
            <w:bookmarkEnd w:id="39"/>
            <w:r/>
            <w:bookmarkStart w:id="40" w:name="_Hlt24879081"/>
            <w:r/>
            <w:bookmarkEnd w:id="40"/>
            <w:r>
              <w:rPr>
                <w:rFonts w:hint="eastAsia" w:ascii="宋体" w:hAnsi="宋体" w:eastAsia="宋体" w:cs="宋体"/>
                <w:color w:val="auto"/>
                <w:sz w:val="24"/>
                <w:szCs w:val="24"/>
                <w:highlight w:val="none"/>
              </w:rPr>
              <w:t xml:space="preserve">序号</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bookmarkStart w:id="41" w:name="_Hlt26671374"/>
      <w:r/>
      <w:bookmarkEnd w:id="41"/>
      <w:r/>
      <w:bookmarkStart w:id="42" w:name="_Hlt26955066"/>
      <w:r/>
      <w:bookmarkEnd w:id="42"/>
      <w:r/>
      <w:bookmarkStart w:id="43" w:name="_Hlt26609389"/>
      <w:r/>
      <w:bookmarkEnd w:id="43"/>
      <w:r/>
      <w:bookmarkStart w:id="44" w:name="_格式2__法定代表人授权书"/>
      <w:r/>
      <w:bookmarkEnd w:id="44"/>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numPr>
          <w:ilvl w:val="0"/>
          <w:numId w:val="0"/>
        </w:num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七</w:t>
      </w:r>
      <w:r>
        <w:rPr>
          <w:rFonts w:hint="eastAsia" w:ascii="宋体" w:hAnsi="宋体" w:eastAsia="宋体" w:cs="宋体"/>
          <w:i/>
          <w:color w:val="auto"/>
          <w:sz w:val="28"/>
          <w:szCs w:val="28"/>
          <w:highlight w:val="none"/>
          <w:u w:val="single"/>
        </w:rPr>
        <w:t xml:space="preserve">、类似项目业绩一览表</w:t>
      </w:r>
      <w:r/>
    </w:p>
    <w:p>
      <w:pPr>
        <w:numPr>
          <w:ilvl w:val="0"/>
          <w:numId w:val="0"/>
        </w:numPr>
        <w:ind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left="0" w:right="0" w:firstLine="24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7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八</w:t>
      </w:r>
      <w:r>
        <w:rPr>
          <w:rFonts w:hint="eastAsia" w:ascii="宋体" w:hAnsi="宋体" w:eastAsia="宋体" w:cs="宋体"/>
          <w:i/>
          <w:color w:val="auto"/>
          <w:sz w:val="28"/>
          <w:szCs w:val="28"/>
          <w:highlight w:val="none"/>
          <w:u w:val="single"/>
        </w:rPr>
        <w:t xml:space="preserve">、项目团队人员一览表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59"/>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jc w:val="center"/>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269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291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643"/>
        <w:jc w:val="left"/>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i/>
          <w:color w:val="auto"/>
          <w:sz w:val="36"/>
          <w:szCs w:val="36"/>
          <w:highlight w:val="none"/>
          <w:u w:val="single"/>
        </w:rPr>
      </w:pPr>
      <w:r>
        <w:rPr>
          <w:rFonts w:hint="eastAsia" w:ascii="宋体" w:hAnsi="宋体" w:eastAsia="宋体" w:cs="宋体"/>
          <w:bCs/>
          <w:i/>
          <w:color w:val="auto"/>
          <w:sz w:val="36"/>
          <w:szCs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十九</w:t>
      </w:r>
      <w:r>
        <w:rPr>
          <w:rFonts w:hint="eastAsia" w:ascii="宋体" w:hAnsi="宋体" w:eastAsia="宋体" w:cs="宋体"/>
          <w:i/>
          <w:color w:val="auto"/>
          <w:sz w:val="28"/>
          <w:szCs w:val="28"/>
          <w:highlight w:val="none"/>
          <w:u w:val="single"/>
        </w:rPr>
        <w:t xml:space="preserve">、开标一览表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投标人全称（CA公章）：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79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投标货物名称</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keepLines/>
        <w:keepNext/>
        <w:pageBreakBefore w:val="0"/>
        <w:spacing w:line="360" w:lineRule="auto"/>
        <w:rPr>
          <w:rFonts w:hint="default" w:ascii="宋体" w:hAnsi="宋体" w:eastAsia="宋体" w:cs="宋体"/>
          <w:i/>
          <w:color w:val="auto"/>
          <w:sz w:val="28"/>
          <w:szCs w:val="28"/>
          <w:highlight w:val="none"/>
          <w:u w:val="single"/>
          <w:lang w:val="en-US" w:eastAsia="zh-CN"/>
        </w:rPr>
        <w:outlineLvl w:val="1"/>
      </w:pPr>
      <w:r>
        <w:rPr>
          <w:rFonts w:hint="eastAsia" w:ascii="宋体" w:hAnsi="宋体" w:eastAsia="宋体" w:cs="宋体"/>
          <w:bCs/>
          <w:color w:val="auto"/>
          <w:sz w:val="40"/>
          <w:szCs w:val="32"/>
          <w:highlight w:val="none"/>
        </w:rPr>
        <w:br w:type="page" w:clear="all"/>
      </w:r>
      <w:r>
        <w:rPr>
          <w:rFonts w:hint="eastAsia" w:ascii="宋体" w:hAnsi="宋体" w:eastAsia="宋体" w:cs="宋体"/>
          <w:i/>
          <w:color w:val="auto"/>
          <w:sz w:val="28"/>
          <w:szCs w:val="28"/>
          <w:highlight w:val="none"/>
          <w:u w:val="single"/>
          <w:lang w:val="en-US" w:eastAsia="zh-CN"/>
        </w:rPr>
        <w:t xml:space="preserve">二十</w:t>
      </w:r>
      <w:r>
        <w:rPr>
          <w:rFonts w:hint="eastAsia" w:ascii="宋体" w:hAnsi="宋体" w:eastAsia="宋体" w:cs="宋体"/>
          <w:i/>
          <w:color w:val="auto"/>
          <w:sz w:val="28"/>
          <w:szCs w:val="28"/>
          <w:highlight w:val="none"/>
          <w:u w:val="single"/>
        </w:rPr>
        <w:t xml:space="preserve">、</w:t>
      </w:r>
      <w:r>
        <w:rPr>
          <w:rFonts w:hint="eastAsia" w:ascii="宋体" w:hAnsi="宋体" w:eastAsia="宋体" w:cs="宋体"/>
          <w:i/>
          <w:color w:val="auto"/>
          <w:sz w:val="28"/>
          <w:szCs w:val="28"/>
          <w:highlight w:val="none"/>
          <w:u w:val="single"/>
          <w:lang w:val="en-US" w:eastAsia="zh-CN"/>
        </w:rPr>
        <w:t xml:space="preserve">投标人认为所需的其他材料</w:t>
      </w:r>
      <w:r/>
    </w:p>
    <w:p>
      <w:pPr>
        <w:ind w:left="0" w:right="0" w:firstLine="8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br w:type="page" w:clear="all"/>
      </w:r>
      <w:r/>
    </w:p>
    <w:p>
      <w:pPr>
        <w:ind w:left="0" w:right="0"/>
        <w:jc w:val="center"/>
        <w:pageBreakBefore w:val="0"/>
        <w:spacing w:line="360" w:lineRule="auto"/>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基本信息</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获取日期：</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ind w:left="0" w:right="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提出质疑时，应提交质疑函和必要的证明材料。</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签署的授权委托书。授权委托书应载明代理人的姓名或者名称、代理事项、具体权限、期限和相关事项。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为法人或者其他组织的，应当由法定代表人、主要负责人签字或者盖章，并加盖公章。</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若对项目的某一分包进行质疑，质疑函中应列明具体分包号。</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left="0" w:right="0" w:firstLine="480"/>
        <w:jc w:val="left"/>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为自然人的，质疑函应附自然人身份证明复印件并由本人签字；质疑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Wingdings">
    <w:panose1 w:val="05000000000000000000"/>
  </w:font>
  <w:font w:name="华文楷体">
    <w:panose1 w:val="02010600040101010101"/>
  </w:font>
  <w:font w:name="黑体">
    <w:panose1 w:val="02010609060101010101"/>
  </w:font>
  <w:font w:name="仿宋_GB2312">
    <w:panose1 w:val="02010609060101010101"/>
  </w:font>
  <w:font w:name="Courier New">
    <w:panose1 w:val="02070309020205020404"/>
  </w:font>
  <w:font w:name="Calibri">
    <w:panose1 w:val="020F0502020204030204"/>
  </w:font>
  <w:font w:name="MS Mincho">
    <w:panose1 w:val="02020603050405090304"/>
  </w:font>
  <w:font w:name="Arial">
    <w:panose1 w:val="020B0604020202020204"/>
  </w:font>
  <w:font w:name="monospace">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3080"/>
                            <w:docPartObj>
                              <w:docPartGallery w:val="autotext"/>
                            </w:docPartObj>
                            <w:rPr/>
                          </w:sdtPr>
                          <w:sdtContent>
                            <w:p>
                              <w:pPr>
                                <w:pStyle w:val="775"/>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3080"/>
                      <w:docPartObj>
                        <w:docPartGallery w:val="autotext"/>
                      </w:docPartObj>
                      <w:rPr/>
                    </w:sdtPr>
                    <w:sdtContent>
                      <w:p>
                        <w:pPr>
                          <w:pStyle w:val="775"/>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r/>
                    <w:r/>
                  </w:p>
                </w:txbxContent>
              </v:textbox>
            </v:shape>
          </w:pict>
        </mc:Fallback>
      </mc:AlternateContent>
    </w:r>
    <w:r/>
  </w:p>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lowerLetter"/>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4"/>
  </w:num>
  <w:num w:numId="2">
    <w:abstractNumId w:val="8"/>
  </w:num>
  <w:num w:numId="3">
    <w:abstractNumId w:val="6"/>
  </w:num>
  <w:num w:numId="4">
    <w:abstractNumId w:val="9"/>
  </w:num>
  <w:num w:numId="5">
    <w:abstractNumId w:val="18"/>
  </w:num>
  <w:num w:numId="6">
    <w:abstractNumId w:val="5"/>
  </w:num>
  <w:num w:numId="7">
    <w:abstractNumId w:val="2"/>
  </w:num>
  <w:num w:numId="8">
    <w:abstractNumId w:val="4"/>
  </w:num>
  <w:num w:numId="9">
    <w:abstractNumId w:val="10"/>
  </w:num>
  <w:num w:numId="10">
    <w:abstractNumId w:val="17"/>
  </w:num>
  <w:num w:numId="11">
    <w:abstractNumId w:val="28"/>
  </w:num>
  <w:num w:numId="12">
    <w:abstractNumId w:val="27"/>
  </w:num>
  <w:num w:numId="13">
    <w:abstractNumId w:val="20"/>
  </w:num>
  <w:num w:numId="14">
    <w:abstractNumId w:val="25"/>
  </w:num>
  <w:num w:numId="15">
    <w:abstractNumId w:val="19"/>
  </w:num>
  <w:num w:numId="16">
    <w:abstractNumId w:val="29"/>
  </w:num>
  <w:num w:numId="17">
    <w:abstractNumId w:val="0"/>
  </w:num>
  <w:num w:numId="18">
    <w:abstractNumId w:val="11"/>
  </w:num>
  <w:num w:numId="19">
    <w:abstractNumId w:val="7"/>
  </w:num>
  <w:num w:numId="20">
    <w:abstractNumId w:val="26"/>
  </w:num>
  <w:num w:numId="21">
    <w:abstractNumId w:val="13"/>
  </w:num>
  <w:num w:numId="22">
    <w:abstractNumId w:val="15"/>
  </w:num>
  <w:num w:numId="23">
    <w:abstractNumId w:val="22"/>
  </w:num>
  <w:num w:numId="24">
    <w:abstractNumId w:val="30"/>
  </w:num>
  <w:num w:numId="25">
    <w:abstractNumId w:val="23"/>
  </w:num>
  <w:num w:numId="26">
    <w:abstractNumId w:val="12"/>
  </w:num>
  <w:num w:numId="27">
    <w:abstractNumId w:val="3"/>
  </w:num>
  <w:num w:numId="28">
    <w:abstractNumId w:val="14"/>
  </w:num>
  <w:num w:numId="29">
    <w:abstractNumId w:val="21"/>
  </w:num>
  <w:num w:numId="30">
    <w:abstractNumId w:val="16"/>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989"/>
    <w:uiPriority w:val="0"/>
    <w:qFormat/>
    <w:pPr>
      <w:jc w:val="both"/>
      <w:widowControl w:val="off"/>
    </w:pPr>
    <w:rPr>
      <w:rFonts w:hint="default" w:asciiTheme="minorHAnsi" w:hAnsiTheme="minorHAnsi" w:eastAsiaTheme="minorEastAsia" w:cstheme="minorBidi"/>
      <w:sz w:val="21"/>
      <w:szCs w:val="22"/>
    </w:rPr>
  </w:style>
  <w:style w:type="paragraph" w:styleId="749">
    <w:name w:val="Heading 1"/>
    <w:basedOn w:val="748"/>
    <w:next w:val="748"/>
    <w:link w:val="958"/>
    <w:uiPriority w:val="9"/>
    <w:qFormat/>
    <w:pPr>
      <w:keepLines/>
      <w:keepNext/>
      <w:spacing w:before="340" w:after="330" w:line="578" w:lineRule="auto"/>
      <w:outlineLvl w:val="0"/>
    </w:pPr>
    <w:rPr>
      <w:b/>
      <w:bCs/>
      <w:sz w:val="44"/>
      <w:szCs w:val="44"/>
    </w:rPr>
  </w:style>
  <w:style w:type="paragraph" w:styleId="750">
    <w:name w:val="Heading 2"/>
    <w:basedOn w:val="748"/>
    <w:next w:val="748"/>
    <w:link w:val="96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51">
    <w:name w:val="Heading 3"/>
    <w:basedOn w:val="748"/>
    <w:next w:val="748"/>
    <w:link w:val="961"/>
    <w:uiPriority w:val="9"/>
    <w:unhideWhenUsed/>
    <w:qFormat/>
    <w:pPr>
      <w:keepLines/>
      <w:keepNext/>
      <w:spacing w:before="260" w:after="260" w:line="416" w:lineRule="auto"/>
      <w:outlineLvl w:val="2"/>
    </w:pPr>
    <w:rPr>
      <w:b/>
      <w:bCs/>
      <w:sz w:val="32"/>
      <w:szCs w:val="32"/>
    </w:rPr>
  </w:style>
  <w:style w:type="paragraph" w:styleId="752">
    <w:name w:val="Heading 4"/>
    <w:basedOn w:val="748"/>
    <w:next w:val="748"/>
    <w:link w:val="811"/>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812"/>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813"/>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815"/>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816"/>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customStyle="1">
    <w:name w:val="Default"/>
    <w:link w:val="970"/>
    <w:uiPriority w:val="99"/>
    <w:qFormat/>
    <w:pPr>
      <w:widowControl w:val="off"/>
    </w:pPr>
    <w:rPr>
      <w:rFonts w:hint="default" w:ascii="MS Mincho" w:hAnsi="Calibri" w:eastAsia="宋体" w:cs="Times New Roman"/>
      <w:color w:val="000000"/>
      <w:sz w:val="21"/>
      <w:szCs w:val="24"/>
    </w:rPr>
  </w:style>
  <w:style w:type="paragraph" w:styleId="761">
    <w:name w:val="toc 7"/>
    <w:basedOn w:val="748"/>
    <w:next w:val="748"/>
    <w:uiPriority w:val="39"/>
    <w:unhideWhenUsed/>
    <w:qFormat/>
    <w:pPr>
      <w:ind w:left="1701" w:right="0" w:firstLine="0"/>
      <w:spacing w:after="57"/>
    </w:pPr>
  </w:style>
  <w:style w:type="paragraph" w:styleId="762">
    <w:name w:val="Normal Indent"/>
    <w:basedOn w:val="748"/>
    <w:uiPriority w:val="0"/>
    <w:qFormat/>
    <w:pPr>
      <w:ind w:firstLine="420"/>
    </w:pPr>
    <w:rPr>
      <w:b/>
      <w:sz w:val="24"/>
      <w:szCs w:val="20"/>
    </w:rPr>
  </w:style>
  <w:style w:type="paragraph" w:styleId="763">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Document Map"/>
    <w:basedOn w:val="748"/>
    <w:link w:val="959"/>
    <w:uiPriority w:val="99"/>
    <w:semiHidden/>
    <w:unhideWhenUsed/>
    <w:qFormat/>
    <w:rPr>
      <w:rFonts w:ascii="宋体" w:eastAsia="宋体"/>
      <w:sz w:val="18"/>
      <w:szCs w:val="18"/>
    </w:rPr>
  </w:style>
  <w:style w:type="paragraph" w:styleId="765">
    <w:name w:val="annotation text"/>
    <w:basedOn w:val="748"/>
    <w:link w:val="963"/>
    <w:uiPriority w:val="0"/>
    <w:qFormat/>
    <w:pPr>
      <w:ind w:firstLine="420"/>
      <w:jc w:val="left"/>
      <w:spacing w:line="360" w:lineRule="auto"/>
    </w:pPr>
    <w:rPr>
      <w:rFonts w:ascii="Times New Roman" w:hAnsi="Times New Roman" w:eastAsia="宋体" w:cs="Times New Roman"/>
      <w:color w:val="ff0000"/>
      <w:szCs w:val="24"/>
    </w:rPr>
  </w:style>
  <w:style w:type="paragraph" w:styleId="766">
    <w:name w:val="Body Text"/>
    <w:basedOn w:val="748"/>
    <w:next w:val="748"/>
    <w:link w:val="971"/>
    <w:uiPriority w:val="0"/>
    <w:unhideWhenUsed/>
    <w:qFormat/>
    <w:pPr>
      <w:spacing w:after="120"/>
    </w:pPr>
    <w:rPr>
      <w:rFonts w:ascii="Calibri" w:hAnsi="Calibri" w:eastAsia="宋体" w:cs="Times New Roman"/>
    </w:rPr>
  </w:style>
  <w:style w:type="paragraph" w:styleId="767">
    <w:name w:val="Body Text Indent"/>
    <w:basedOn w:val="748"/>
    <w:link w:val="972"/>
    <w:uiPriority w:val="0"/>
    <w:qFormat/>
    <w:pPr>
      <w:ind w:left="420"/>
      <w:spacing w:after="120"/>
    </w:pPr>
    <w:rPr>
      <w:rFonts w:ascii="Times New Roman" w:hAnsi="Times New Roman" w:eastAsia="宋体" w:cs="Times New Roman"/>
      <w:szCs w:val="24"/>
    </w:rPr>
  </w:style>
  <w:style w:type="paragraph" w:styleId="768">
    <w:name w:val="toc 5"/>
    <w:basedOn w:val="748"/>
    <w:next w:val="748"/>
    <w:uiPriority w:val="39"/>
    <w:unhideWhenUsed/>
    <w:qFormat/>
    <w:pPr>
      <w:ind w:left="1134" w:right="0" w:firstLine="0"/>
      <w:spacing w:after="57"/>
    </w:pPr>
  </w:style>
  <w:style w:type="paragraph" w:styleId="769">
    <w:name w:val="toc 3"/>
    <w:basedOn w:val="748"/>
    <w:next w:val="748"/>
    <w:uiPriority w:val="39"/>
    <w:unhideWhenUsed/>
    <w:qFormat/>
    <w:pPr>
      <w:ind w:left="567" w:right="0" w:firstLine="0"/>
      <w:spacing w:after="57"/>
    </w:pPr>
  </w:style>
  <w:style w:type="paragraph" w:styleId="770">
    <w:name w:val="Plain Text"/>
    <w:basedOn w:val="748"/>
    <w:link w:val="973"/>
    <w:uiPriority w:val="0"/>
    <w:qFormat/>
    <w:rPr>
      <w:rFonts w:ascii="宋体" w:hAnsi="Courier New" w:eastAsia="宋体" w:cs="Courier New"/>
      <w:szCs w:val="21"/>
    </w:rPr>
  </w:style>
  <w:style w:type="paragraph" w:styleId="771">
    <w:name w:val="toc 8"/>
    <w:basedOn w:val="748"/>
    <w:next w:val="748"/>
    <w:uiPriority w:val="39"/>
    <w:unhideWhenUsed/>
    <w:qFormat/>
    <w:pPr>
      <w:ind w:left="1984" w:right="0" w:firstLine="0"/>
      <w:spacing w:after="57"/>
    </w:pPr>
  </w:style>
  <w:style w:type="paragraph" w:styleId="772">
    <w:name w:val="Date"/>
    <w:basedOn w:val="748"/>
    <w:next w:val="748"/>
    <w:link w:val="962"/>
    <w:uiPriority w:val="99"/>
    <w:semiHidden/>
    <w:unhideWhenUsed/>
    <w:qFormat/>
    <w:pPr>
      <w:ind w:left="100"/>
    </w:pPr>
  </w:style>
  <w:style w:type="paragraph" w:styleId="773">
    <w:name w:val="endnote text"/>
    <w:basedOn w:val="748"/>
    <w:link w:val="954"/>
    <w:uiPriority w:val="99"/>
    <w:semiHidden/>
    <w:unhideWhenUsed/>
    <w:qFormat/>
    <w:pPr>
      <w:spacing w:after="0" w:line="240" w:lineRule="auto"/>
    </w:pPr>
    <w:rPr>
      <w:sz w:val="20"/>
    </w:rPr>
  </w:style>
  <w:style w:type="paragraph" w:styleId="774">
    <w:name w:val="Balloon Text"/>
    <w:basedOn w:val="748"/>
    <w:link w:val="964"/>
    <w:uiPriority w:val="99"/>
    <w:semiHidden/>
    <w:unhideWhenUsed/>
    <w:qFormat/>
    <w:rPr>
      <w:sz w:val="18"/>
      <w:szCs w:val="18"/>
    </w:rPr>
  </w:style>
  <w:style w:type="paragraph" w:styleId="775">
    <w:name w:val="Footer"/>
    <w:basedOn w:val="748"/>
    <w:link w:val="957"/>
    <w:uiPriority w:val="99"/>
    <w:unhideWhenUsed/>
    <w:qFormat/>
    <w:pPr>
      <w:jc w:val="left"/>
      <w:tabs>
        <w:tab w:val="center" w:pos="4153" w:leader="none"/>
        <w:tab w:val="right" w:pos="8306" w:leader="none"/>
      </w:tabs>
    </w:pPr>
    <w:rPr>
      <w:sz w:val="18"/>
      <w:szCs w:val="18"/>
    </w:rPr>
  </w:style>
  <w:style w:type="paragraph" w:styleId="776">
    <w:name w:val="Header"/>
    <w:basedOn w:val="748"/>
    <w:link w:val="95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48"/>
    <w:next w:val="748"/>
    <w:uiPriority w:val="39"/>
    <w:unhideWhenUsed/>
    <w:qFormat/>
  </w:style>
  <w:style w:type="paragraph" w:styleId="778">
    <w:name w:val="toc 4"/>
    <w:basedOn w:val="748"/>
    <w:next w:val="748"/>
    <w:uiPriority w:val="39"/>
    <w:unhideWhenUsed/>
    <w:qFormat/>
    <w:pPr>
      <w:ind w:left="850" w:right="0" w:firstLine="0"/>
      <w:spacing w:after="57"/>
    </w:pPr>
  </w:style>
  <w:style w:type="paragraph" w:styleId="779">
    <w:name w:val="Subtitle"/>
    <w:basedOn w:val="748"/>
    <w:next w:val="748"/>
    <w:link w:val="820"/>
    <w:uiPriority w:val="11"/>
    <w:qFormat/>
    <w:pPr>
      <w:spacing w:before="200" w:after="200"/>
    </w:pPr>
    <w:rPr>
      <w:sz w:val="24"/>
      <w:szCs w:val="24"/>
    </w:rPr>
  </w:style>
  <w:style w:type="paragraph" w:styleId="780">
    <w:name w:val="footnote text"/>
    <w:basedOn w:val="748"/>
    <w:link w:val="953"/>
    <w:uiPriority w:val="99"/>
    <w:semiHidden/>
    <w:unhideWhenUsed/>
    <w:qFormat/>
    <w:pPr>
      <w:spacing w:after="40" w:line="240" w:lineRule="auto"/>
    </w:pPr>
    <w:rPr>
      <w:sz w:val="18"/>
    </w:rPr>
  </w:style>
  <w:style w:type="paragraph" w:styleId="781">
    <w:name w:val="toc 6"/>
    <w:basedOn w:val="748"/>
    <w:next w:val="748"/>
    <w:uiPriority w:val="39"/>
    <w:unhideWhenUsed/>
    <w:qFormat/>
    <w:pPr>
      <w:ind w:left="1417" w:right="0" w:firstLine="0"/>
      <w:spacing w:after="57"/>
    </w:pPr>
  </w:style>
  <w:style w:type="paragraph" w:styleId="782">
    <w:name w:val="table of figures"/>
    <w:basedOn w:val="748"/>
    <w:next w:val="748"/>
    <w:uiPriority w:val="99"/>
    <w:unhideWhenUsed/>
    <w:qFormat/>
    <w:pPr>
      <w:spacing w:after="0" w:afterAutospacing="0"/>
    </w:pPr>
  </w:style>
  <w:style w:type="paragraph" w:styleId="783">
    <w:name w:val="toc 2"/>
    <w:basedOn w:val="748"/>
    <w:next w:val="748"/>
    <w:uiPriority w:val="39"/>
    <w:unhideWhenUsed/>
    <w:qFormat/>
    <w:pPr>
      <w:ind w:left="283" w:right="0" w:firstLine="0"/>
      <w:spacing w:after="57"/>
    </w:pPr>
  </w:style>
  <w:style w:type="paragraph" w:styleId="784">
    <w:name w:val="toc 9"/>
    <w:basedOn w:val="748"/>
    <w:next w:val="748"/>
    <w:uiPriority w:val="39"/>
    <w:unhideWhenUsed/>
    <w:qFormat/>
    <w:pPr>
      <w:ind w:left="2268" w:right="0" w:firstLine="0"/>
      <w:spacing w:after="57"/>
    </w:pPr>
  </w:style>
  <w:style w:type="paragraph" w:styleId="785">
    <w:name w:val="List Continue 2"/>
    <w:basedOn w:val="748"/>
    <w:next w:val="748"/>
    <w:uiPriority w:val="0"/>
    <w:qFormat/>
    <w:pPr>
      <w:ind w:left="840"/>
      <w:spacing w:after="120"/>
    </w:pPr>
  </w:style>
  <w:style w:type="paragraph" w:styleId="786">
    <w:name w:val="Normal (Web)"/>
    <w:basedOn w:val="748"/>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87">
    <w:name w:val="Title"/>
    <w:basedOn w:val="748"/>
    <w:next w:val="748"/>
    <w:link w:val="819"/>
    <w:uiPriority w:val="10"/>
    <w:qFormat/>
    <w:pPr>
      <w:contextualSpacing/>
      <w:spacing w:before="300" w:after="200"/>
    </w:pPr>
    <w:rPr>
      <w:sz w:val="48"/>
      <w:szCs w:val="48"/>
    </w:rPr>
  </w:style>
  <w:style w:type="paragraph" w:styleId="788">
    <w:name w:val="annotation subject"/>
    <w:basedOn w:val="765"/>
    <w:next w:val="765"/>
    <w:link w:val="969"/>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89">
    <w:name w:val="Body Text First Indent"/>
    <w:basedOn w:val="766"/>
    <w:uiPriority w:val="0"/>
    <w:qFormat/>
    <w:pPr>
      <w:ind w:firstLine="200"/>
      <w:spacing w:line="360" w:lineRule="auto"/>
    </w:pPr>
    <w:rPr>
      <w:rFonts w:ascii="仿宋_GB2312" w:hAnsi="Times New Roman" w:eastAsia="仿宋_GB2312" w:cs="Times New Roman"/>
      <w:sz w:val="30"/>
      <w:szCs w:val="30"/>
    </w:rPr>
  </w:style>
  <w:style w:type="paragraph" w:styleId="790">
    <w:name w:val="Body Text First Indent 2"/>
    <w:basedOn w:val="767"/>
    <w:uiPriority w:val="0"/>
    <w:qFormat/>
    <w:pPr>
      <w:ind w:left="0" w:firstLine="420"/>
      <w:spacing w:after="0" w:line="360" w:lineRule="auto"/>
    </w:pPr>
    <w:rPr>
      <w:rFonts w:ascii="宋体" w:hAnsi="宋体" w:eastAsia="宋体" w:cs="Times New Roman"/>
      <w:szCs w:val="20"/>
    </w:rPr>
  </w:style>
  <w:style w:type="table" w:styleId="791">
    <w:name w:val="Table Grid"/>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basedOn w:val="758"/>
    <w:uiPriority w:val="22"/>
    <w:qFormat/>
    <w:rPr>
      <w:b/>
    </w:rPr>
  </w:style>
  <w:style w:type="character" w:styleId="793">
    <w:name w:val="endnote reference"/>
    <w:basedOn w:val="758"/>
    <w:uiPriority w:val="99"/>
    <w:semiHidden/>
    <w:unhideWhenUsed/>
    <w:qFormat/>
    <w:rPr>
      <w:vertAlign w:val="superscript"/>
    </w:rPr>
  </w:style>
  <w:style w:type="character" w:styleId="794">
    <w:name w:val="FollowedHyperlink"/>
    <w:basedOn w:val="758"/>
    <w:uiPriority w:val="99"/>
    <w:semiHidden/>
    <w:unhideWhenUsed/>
    <w:qFormat/>
    <w:rPr>
      <w:color w:val="800080"/>
      <w:u w:val="none"/>
    </w:rPr>
  </w:style>
  <w:style w:type="character" w:styleId="795">
    <w:name w:val="HTML Definition"/>
    <w:basedOn w:val="758"/>
    <w:uiPriority w:val="99"/>
    <w:semiHidden/>
    <w:unhideWhenUsed/>
    <w:qFormat/>
  </w:style>
  <w:style w:type="character" w:styleId="796">
    <w:name w:val="HTML Typewriter"/>
    <w:basedOn w:val="758"/>
    <w:uiPriority w:val="99"/>
    <w:semiHidden/>
    <w:unhideWhenUsed/>
    <w:qFormat/>
    <w:rPr>
      <w:rFonts w:hint="default" w:ascii="monospace" w:hAnsi="monospace" w:eastAsia="monospace" w:cs="monospace"/>
      <w:sz w:val="20"/>
    </w:rPr>
  </w:style>
  <w:style w:type="character" w:styleId="797">
    <w:name w:val="HTML Acronym"/>
    <w:basedOn w:val="758"/>
    <w:uiPriority w:val="99"/>
    <w:semiHidden/>
    <w:unhideWhenUsed/>
    <w:qFormat/>
  </w:style>
  <w:style w:type="character" w:styleId="798">
    <w:name w:val="HTML Variable"/>
    <w:basedOn w:val="758"/>
    <w:uiPriority w:val="99"/>
    <w:semiHidden/>
    <w:unhideWhenUsed/>
    <w:qFormat/>
  </w:style>
  <w:style w:type="character" w:styleId="799">
    <w:name w:val="Hyperlink"/>
    <w:uiPriority w:val="99"/>
    <w:qFormat/>
    <w:rPr>
      <w:color w:val="0000ff"/>
      <w:u w:val="none"/>
    </w:rPr>
  </w:style>
  <w:style w:type="character" w:styleId="800">
    <w:name w:val="HTML Code"/>
    <w:basedOn w:val="758"/>
    <w:uiPriority w:val="99"/>
    <w:semiHidden/>
    <w:unhideWhenUsed/>
    <w:qFormat/>
    <w:rPr>
      <w:rFonts w:hint="default" w:ascii="monospace" w:hAnsi="monospace" w:eastAsia="monospace" w:cs="monospace"/>
      <w:sz w:val="20"/>
    </w:rPr>
  </w:style>
  <w:style w:type="character" w:styleId="801">
    <w:name w:val="annotation reference"/>
    <w:uiPriority w:val="0"/>
    <w:qFormat/>
    <w:rPr>
      <w:sz w:val="21"/>
      <w:szCs w:val="21"/>
    </w:rPr>
  </w:style>
  <w:style w:type="character" w:styleId="802">
    <w:name w:val="HTML Cite"/>
    <w:basedOn w:val="758"/>
    <w:uiPriority w:val="99"/>
    <w:semiHidden/>
    <w:unhideWhenUsed/>
    <w:qFormat/>
  </w:style>
  <w:style w:type="character" w:styleId="803">
    <w:name w:val="footnote reference"/>
    <w:basedOn w:val="758"/>
    <w:uiPriority w:val="99"/>
    <w:unhideWhenUsed/>
    <w:qFormat/>
    <w:rPr>
      <w:vertAlign w:val="superscript"/>
    </w:rPr>
  </w:style>
  <w:style w:type="character" w:styleId="804">
    <w:name w:val="HTML Keyboard"/>
    <w:basedOn w:val="758"/>
    <w:uiPriority w:val="99"/>
    <w:semiHidden/>
    <w:unhideWhenUsed/>
    <w:qFormat/>
    <w:rPr>
      <w:rFonts w:hint="default" w:ascii="monospace" w:hAnsi="monospace" w:eastAsia="monospace" w:cs="monospace"/>
      <w:sz w:val="20"/>
    </w:rPr>
  </w:style>
  <w:style w:type="character" w:styleId="805">
    <w:name w:val="HTML Sample"/>
    <w:basedOn w:val="758"/>
    <w:uiPriority w:val="99"/>
    <w:semiHidden/>
    <w:unhideWhenUsed/>
    <w:qFormat/>
    <w:rPr>
      <w:rFonts w:ascii="monospace" w:hAnsi="monospace" w:eastAsia="monospace" w:cs="monospace"/>
    </w:rPr>
  </w:style>
  <w:style w:type="paragraph" w:styleId="806" w:customStyle="1">
    <w:name w:val="首行缩进"/>
    <w:basedOn w:val="748"/>
    <w:uiPriority w:val="0"/>
    <w:qFormat/>
    <w:pPr>
      <w:ind w:firstLine="480"/>
    </w:pPr>
    <w:rPr>
      <w:lang w:val="zh-CN"/>
    </w:rPr>
  </w:style>
  <w:style w:type="paragraph" w:styleId="807" w:customStyle="1">
    <w:name w:val="段"/>
    <w:next w:val="748"/>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808" w:customStyle="1">
    <w:name w:val="Heading 1 Char"/>
    <w:basedOn w:val="758"/>
    <w:uiPriority w:val="9"/>
    <w:qFormat/>
    <w:rPr>
      <w:rFonts w:ascii="Arial" w:hAnsi="Arial" w:eastAsia="Arial" w:cs="Arial"/>
      <w:sz w:val="40"/>
      <w:szCs w:val="40"/>
    </w:rPr>
  </w:style>
  <w:style w:type="character" w:styleId="809" w:customStyle="1">
    <w:name w:val="Heading 2 Char"/>
    <w:basedOn w:val="758"/>
    <w:uiPriority w:val="9"/>
    <w:qFormat/>
    <w:rPr>
      <w:rFonts w:ascii="Arial" w:hAnsi="Arial" w:eastAsia="Arial" w:cs="Arial"/>
      <w:sz w:val="34"/>
    </w:rPr>
  </w:style>
  <w:style w:type="character" w:styleId="810" w:customStyle="1">
    <w:name w:val="Heading 3 Char"/>
    <w:basedOn w:val="758"/>
    <w:uiPriority w:val="9"/>
    <w:qFormat/>
    <w:rPr>
      <w:rFonts w:ascii="Arial" w:hAnsi="Arial" w:eastAsia="Arial" w:cs="Arial"/>
      <w:sz w:val="30"/>
      <w:szCs w:val="30"/>
    </w:rPr>
  </w:style>
  <w:style w:type="character" w:styleId="811" w:customStyle="1">
    <w:name w:val="Heading 4 Char"/>
    <w:basedOn w:val="758"/>
    <w:link w:val="752"/>
    <w:uiPriority w:val="9"/>
    <w:qFormat/>
    <w:rPr>
      <w:rFonts w:ascii="Arial" w:hAnsi="Arial" w:eastAsia="Arial" w:cs="Arial"/>
      <w:b/>
      <w:bCs/>
      <w:sz w:val="26"/>
      <w:szCs w:val="26"/>
    </w:rPr>
  </w:style>
  <w:style w:type="character" w:styleId="812" w:customStyle="1">
    <w:name w:val="Heading 5 Char"/>
    <w:basedOn w:val="758"/>
    <w:link w:val="753"/>
    <w:uiPriority w:val="9"/>
    <w:qFormat/>
    <w:rPr>
      <w:rFonts w:ascii="Arial" w:hAnsi="Arial" w:eastAsia="Arial" w:cs="Arial"/>
      <w:b/>
      <w:bCs/>
      <w:sz w:val="24"/>
      <w:szCs w:val="24"/>
    </w:rPr>
  </w:style>
  <w:style w:type="character" w:styleId="813" w:customStyle="1">
    <w:name w:val="Heading 6 Char"/>
    <w:basedOn w:val="758"/>
    <w:link w:val="754"/>
    <w:uiPriority w:val="9"/>
    <w:qFormat/>
    <w:rPr>
      <w:rFonts w:ascii="Arial" w:hAnsi="Arial" w:eastAsia="Arial" w:cs="Arial"/>
      <w:b/>
      <w:bCs/>
      <w:sz w:val="22"/>
      <w:szCs w:val="22"/>
    </w:rPr>
  </w:style>
  <w:style w:type="character" w:styleId="814" w:customStyle="1">
    <w:name w:val="Heading 7 Char"/>
    <w:basedOn w:val="758"/>
    <w:link w:val="755"/>
    <w:uiPriority w:val="9"/>
    <w:qFormat/>
    <w:rPr>
      <w:rFonts w:ascii="Arial" w:hAnsi="Arial" w:eastAsia="Arial" w:cs="Arial"/>
      <w:b/>
      <w:bCs/>
      <w:i/>
      <w:iCs/>
      <w:sz w:val="22"/>
      <w:szCs w:val="22"/>
    </w:rPr>
  </w:style>
  <w:style w:type="character" w:styleId="815" w:customStyle="1">
    <w:name w:val="Heading 8 Char"/>
    <w:basedOn w:val="758"/>
    <w:link w:val="756"/>
    <w:uiPriority w:val="9"/>
    <w:qFormat/>
    <w:rPr>
      <w:rFonts w:ascii="Arial" w:hAnsi="Arial" w:eastAsia="Arial" w:cs="Arial"/>
      <w:i/>
      <w:iCs/>
      <w:sz w:val="22"/>
      <w:szCs w:val="22"/>
    </w:rPr>
  </w:style>
  <w:style w:type="character" w:styleId="816" w:customStyle="1">
    <w:name w:val="Heading 9 Char"/>
    <w:basedOn w:val="758"/>
    <w:link w:val="757"/>
    <w:uiPriority w:val="9"/>
    <w:qFormat/>
    <w:rPr>
      <w:rFonts w:ascii="Arial" w:hAnsi="Arial" w:eastAsia="Arial" w:cs="Arial"/>
      <w:i/>
      <w:iCs/>
      <w:sz w:val="21"/>
      <w:szCs w:val="21"/>
    </w:rPr>
  </w:style>
  <w:style w:type="paragraph" w:styleId="817">
    <w:name w:val="List Paragraph"/>
    <w:basedOn w:val="748"/>
    <w:uiPriority w:val="34"/>
    <w:qFormat/>
    <w:pPr>
      <w:contextualSpacing/>
      <w:ind w:left="720"/>
    </w:pPr>
  </w:style>
  <w:style w:type="paragraph" w:styleId="818">
    <w:name w:val="No Spacing"/>
    <w:uiPriority w:val="1"/>
    <w:qFormat/>
    <w:pPr>
      <w:spacing w:before="0" w:after="0" w:line="240" w:lineRule="auto"/>
    </w:pPr>
    <w:rPr>
      <w:rFonts w:hint="default" w:asciiTheme="minorHAnsi" w:hAnsiTheme="minorHAnsi" w:eastAsiaTheme="minorEastAsia" w:cstheme="minorBidi"/>
    </w:rPr>
  </w:style>
  <w:style w:type="character" w:styleId="819" w:customStyle="1">
    <w:name w:val="Title Char"/>
    <w:basedOn w:val="758"/>
    <w:link w:val="787"/>
    <w:uiPriority w:val="10"/>
    <w:qFormat/>
    <w:rPr>
      <w:sz w:val="48"/>
      <w:szCs w:val="48"/>
    </w:rPr>
  </w:style>
  <w:style w:type="character" w:styleId="820" w:customStyle="1">
    <w:name w:val="Subtitle Char"/>
    <w:basedOn w:val="758"/>
    <w:link w:val="779"/>
    <w:uiPriority w:val="11"/>
    <w:qFormat/>
    <w:rPr>
      <w:sz w:val="24"/>
      <w:szCs w:val="24"/>
    </w:rPr>
  </w:style>
  <w:style w:type="paragraph" w:styleId="821">
    <w:name w:val="Quote"/>
    <w:basedOn w:val="748"/>
    <w:next w:val="748"/>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48"/>
    <w:next w:val="748"/>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basedOn w:val="758"/>
    <w:uiPriority w:val="99"/>
    <w:qFormat/>
  </w:style>
  <w:style w:type="character" w:styleId="826" w:customStyle="1">
    <w:name w:val="Footer Char"/>
    <w:basedOn w:val="758"/>
    <w:uiPriority w:val="99"/>
    <w:qFormat/>
  </w:style>
  <w:style w:type="character" w:styleId="827" w:customStyle="1">
    <w:name w:val="Caption Char"/>
    <w:uiPriority w:val="99"/>
    <w:qFormat/>
  </w:style>
  <w:style w:type="table" w:styleId="828" w:customStyle="1">
    <w:name w:val="Table Grid Light"/>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5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5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5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5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5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5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5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5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5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5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5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5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5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5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5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5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5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5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5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basedOn w:val="75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basedOn w:val="75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basedOn w:val="75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5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5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basedOn w:val="75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5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5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3" w:customStyle="1">
    <w:name w:val="Grid Table 6 Colorful - Accent 4"/>
    <w:basedOn w:val="75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5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6 Colorful - Accent 6"/>
    <w:basedOn w:val="75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5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5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5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5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5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5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5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5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5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5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5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5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5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basedOn w:val="75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basedOn w:val="75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basedOn w:val="75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basedOn w:val="75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basedOn w:val="75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5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basedOn w:val="75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5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5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5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5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5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basedOn w:val="75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basedOn w:val="75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basedOn w:val="75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basedOn w:val="75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basedOn w:val="75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basedOn w:val="75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5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5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5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5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5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basedOn w:val="75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basedOn w:val="75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basedOn w:val="75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basedOn w:val="75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basedOn w:val="75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basedOn w:val="75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5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5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5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5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5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5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basedOn w:val="7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5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basedOn w:val="75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basedOn w:val="75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basedOn w:val="75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basedOn w:val="75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basedOn w:val="75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basedOn w:val="7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5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basedOn w:val="75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basedOn w:val="75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basedOn w:val="75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basedOn w:val="75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basedOn w:val="75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link w:val="780"/>
    <w:uiPriority w:val="99"/>
    <w:qFormat/>
    <w:rPr>
      <w:sz w:val="18"/>
    </w:rPr>
  </w:style>
  <w:style w:type="character" w:styleId="954" w:customStyle="1">
    <w:name w:val="Endnote Text Char"/>
    <w:link w:val="773"/>
    <w:uiPriority w:val="99"/>
    <w:qFormat/>
    <w:rPr>
      <w:sz w:val="20"/>
    </w:rPr>
  </w:style>
  <w:style w:type="paragraph" w:styleId="955" w:customStyle="1">
    <w:name w:val="TOC Heading"/>
    <w:uiPriority w:val="39"/>
    <w:unhideWhenUsed/>
    <w:qFormat/>
    <w:rPr>
      <w:rFonts w:hint="default" w:asciiTheme="minorHAnsi" w:hAnsiTheme="minorHAnsi" w:eastAsiaTheme="minorEastAsia" w:cstheme="minorBidi"/>
    </w:rPr>
  </w:style>
  <w:style w:type="character" w:styleId="956" w:customStyle="1">
    <w:name w:val="页眉 字符"/>
    <w:basedOn w:val="758"/>
    <w:link w:val="776"/>
    <w:uiPriority w:val="99"/>
    <w:qFormat/>
    <w:rPr>
      <w:sz w:val="18"/>
      <w:szCs w:val="18"/>
    </w:rPr>
  </w:style>
  <w:style w:type="character" w:styleId="957" w:customStyle="1">
    <w:name w:val="页脚 字符"/>
    <w:basedOn w:val="758"/>
    <w:link w:val="775"/>
    <w:uiPriority w:val="99"/>
    <w:qFormat/>
    <w:rPr>
      <w:sz w:val="18"/>
      <w:szCs w:val="18"/>
    </w:rPr>
  </w:style>
  <w:style w:type="character" w:styleId="958" w:customStyle="1">
    <w:name w:val="标题 1 字符"/>
    <w:basedOn w:val="758"/>
    <w:link w:val="749"/>
    <w:uiPriority w:val="9"/>
    <w:qFormat/>
    <w:rPr>
      <w:b/>
      <w:bCs/>
      <w:sz w:val="44"/>
      <w:szCs w:val="44"/>
    </w:rPr>
  </w:style>
  <w:style w:type="character" w:styleId="959" w:customStyle="1">
    <w:name w:val="文档结构图 字符"/>
    <w:basedOn w:val="758"/>
    <w:link w:val="764"/>
    <w:uiPriority w:val="99"/>
    <w:semiHidden/>
    <w:qFormat/>
    <w:rPr>
      <w:rFonts w:ascii="宋体" w:eastAsia="宋体"/>
      <w:sz w:val="18"/>
      <w:szCs w:val="18"/>
    </w:rPr>
  </w:style>
  <w:style w:type="character" w:styleId="960" w:customStyle="1">
    <w:name w:val="标题 2 字符"/>
    <w:basedOn w:val="758"/>
    <w:link w:val="750"/>
    <w:uiPriority w:val="9"/>
    <w:qFormat/>
    <w:rPr>
      <w:rFonts w:asciiTheme="majorHAnsi" w:hAnsiTheme="majorHAnsi" w:eastAsiaTheme="majorEastAsia" w:cstheme="majorBidi"/>
      <w:b/>
      <w:bCs/>
      <w:sz w:val="32"/>
      <w:szCs w:val="32"/>
    </w:rPr>
  </w:style>
  <w:style w:type="character" w:styleId="961" w:customStyle="1">
    <w:name w:val="标题 3 字符"/>
    <w:basedOn w:val="758"/>
    <w:link w:val="751"/>
    <w:uiPriority w:val="9"/>
    <w:qFormat/>
    <w:rPr>
      <w:b/>
      <w:bCs/>
      <w:sz w:val="32"/>
      <w:szCs w:val="32"/>
    </w:rPr>
  </w:style>
  <w:style w:type="character" w:styleId="962" w:customStyle="1">
    <w:name w:val="日期 字符"/>
    <w:basedOn w:val="758"/>
    <w:link w:val="772"/>
    <w:uiPriority w:val="99"/>
    <w:semiHidden/>
    <w:qFormat/>
  </w:style>
  <w:style w:type="character" w:styleId="963" w:customStyle="1">
    <w:name w:val="批注文字 字符"/>
    <w:basedOn w:val="758"/>
    <w:link w:val="765"/>
    <w:uiPriority w:val="0"/>
    <w:qFormat/>
    <w:rPr>
      <w:rFonts w:ascii="Times New Roman" w:hAnsi="Times New Roman" w:eastAsia="宋体" w:cs="Times New Roman"/>
      <w:color w:val="ff0000"/>
      <w:sz w:val="21"/>
      <w:szCs w:val="24"/>
    </w:rPr>
  </w:style>
  <w:style w:type="character" w:styleId="964" w:customStyle="1">
    <w:name w:val="批注框文本 字符"/>
    <w:basedOn w:val="758"/>
    <w:link w:val="774"/>
    <w:uiPriority w:val="99"/>
    <w:semiHidden/>
    <w:qFormat/>
    <w:rPr>
      <w:sz w:val="18"/>
      <w:szCs w:val="18"/>
    </w:rPr>
  </w:style>
  <w:style w:type="paragraph" w:styleId="965" w:customStyle="1">
    <w:name w:val="Table Text"/>
    <w:basedOn w:val="748"/>
    <w:uiPriority w:val="0"/>
    <w:semiHidden/>
    <w:qFormat/>
    <w:rPr>
      <w:rFonts w:ascii="宋体" w:hAnsi="宋体" w:eastAsia="宋体" w:cs="宋体"/>
      <w:sz w:val="24"/>
      <w:szCs w:val="24"/>
      <w:lang w:eastAsia="en-US"/>
    </w:rPr>
  </w:style>
  <w:style w:type="character" w:styleId="966" w:customStyle="1">
    <w:name w:val="font31"/>
    <w:basedOn w:val="758"/>
    <w:uiPriority w:val="0"/>
    <w:qFormat/>
    <w:rPr>
      <w:rFonts w:hint="eastAsia" w:ascii="宋体" w:hAnsi="宋体" w:eastAsia="宋体" w:cs="宋体"/>
      <w:color w:val="000000"/>
      <w:sz w:val="18"/>
      <w:szCs w:val="18"/>
      <w:u w:val="none"/>
    </w:rPr>
  </w:style>
  <w:style w:type="character" w:styleId="967" w:customStyle="1">
    <w:name w:val="font41"/>
    <w:basedOn w:val="758"/>
    <w:uiPriority w:val="0"/>
    <w:qFormat/>
    <w:rPr>
      <w:rFonts w:ascii="Calibri" w:hAnsi="Calibri" w:cs="Calibri"/>
      <w:color w:val="000000"/>
      <w:sz w:val="18"/>
      <w:szCs w:val="18"/>
      <w:u w:val="none"/>
    </w:rPr>
  </w:style>
  <w:style w:type="character" w:styleId="968" w:customStyle="1">
    <w:name w:val="font11"/>
    <w:basedOn w:val="758"/>
    <w:uiPriority w:val="0"/>
    <w:qFormat/>
    <w:rPr>
      <w:rFonts w:hint="eastAsia" w:ascii="宋体" w:hAnsi="宋体" w:eastAsia="宋体" w:cs="宋体"/>
      <w:color w:val="000000"/>
      <w:sz w:val="18"/>
      <w:szCs w:val="18"/>
      <w:u w:val="none"/>
    </w:rPr>
  </w:style>
  <w:style w:type="character" w:styleId="969" w:customStyle="1">
    <w:name w:val="批注主题 字符"/>
    <w:basedOn w:val="963"/>
    <w:link w:val="788"/>
    <w:uiPriority w:val="99"/>
    <w:semiHidden/>
    <w:qFormat/>
    <w:rPr>
      <w:rFonts w:ascii="Times New Roman" w:hAnsi="Times New Roman" w:eastAsia="宋体" w:cs="Times New Roman"/>
      <w:b/>
      <w:bCs/>
      <w:color w:val="ff0000"/>
      <w:sz w:val="21"/>
      <w:szCs w:val="22"/>
    </w:rPr>
  </w:style>
  <w:style w:type="character" w:styleId="970" w:customStyle="1">
    <w:name w:val="Default Char"/>
    <w:link w:val="760"/>
    <w:uiPriority w:val="99"/>
    <w:qFormat/>
    <w:rPr>
      <w:rFonts w:ascii="MS Mincho" w:hAnsi="Calibri" w:eastAsia="宋体" w:cs="Times New Roman"/>
      <w:color w:val="000000"/>
      <w:sz w:val="21"/>
      <w:szCs w:val="24"/>
    </w:rPr>
  </w:style>
  <w:style w:type="character" w:styleId="971" w:customStyle="1">
    <w:name w:val="正文文本 字符"/>
    <w:basedOn w:val="758"/>
    <w:link w:val="766"/>
    <w:uiPriority w:val="0"/>
    <w:qFormat/>
    <w:rPr>
      <w:rFonts w:ascii="Calibri" w:hAnsi="Calibri" w:eastAsia="宋体" w:cs="Times New Roman"/>
      <w:sz w:val="21"/>
      <w:szCs w:val="22"/>
    </w:rPr>
  </w:style>
  <w:style w:type="character" w:styleId="972" w:customStyle="1">
    <w:name w:val="正文文本缩进 字符"/>
    <w:basedOn w:val="758"/>
    <w:link w:val="767"/>
    <w:uiPriority w:val="0"/>
    <w:qFormat/>
    <w:rPr>
      <w:rFonts w:ascii="Times New Roman" w:hAnsi="Times New Roman" w:eastAsia="宋体" w:cs="Times New Roman"/>
      <w:sz w:val="21"/>
      <w:szCs w:val="24"/>
    </w:rPr>
  </w:style>
  <w:style w:type="character" w:styleId="973" w:customStyle="1">
    <w:name w:val="纯文本 字符"/>
    <w:basedOn w:val="758"/>
    <w:link w:val="770"/>
    <w:uiPriority w:val="0"/>
    <w:qFormat/>
    <w:rPr>
      <w:rFonts w:ascii="宋体" w:hAnsi="Courier New" w:eastAsia="宋体" w:cs="Courier New"/>
      <w:sz w:val="21"/>
      <w:szCs w:val="21"/>
    </w:rPr>
  </w:style>
  <w:style w:type="paragraph" w:styleId="974"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75" w:customStyle="1">
    <w:name w:val="列出段落1"/>
    <w:basedOn w:val="748"/>
    <w:uiPriority w:val="0"/>
    <w:qFormat/>
    <w:pPr>
      <w:ind w:firstLine="420"/>
    </w:pPr>
    <w:rPr>
      <w:rFonts w:ascii="Times New Roman" w:hAnsi="Times New Roman" w:eastAsia="宋体" w:cs="Times New Roman"/>
      <w:szCs w:val="21"/>
    </w:rPr>
  </w:style>
  <w:style w:type="table" w:styleId="976" w:customStyle="1">
    <w:name w:val="网格型1"/>
    <w:basedOn w:val="977"/>
    <w:uiPriority w:val="59"/>
    <w:qFormat/>
    <w:tblPr/>
  </w:style>
  <w:style w:type="table" w:styleId="977" w:customStyle="1">
    <w:name w:val="普通表格1"/>
    <w:uiPriority w:val="99"/>
    <w:unhideWhenUsed/>
    <w:qFormat/>
    <w:tblPr/>
  </w:style>
  <w:style w:type="paragraph" w:styleId="978" w:customStyle="1">
    <w:name w:val="正文文本1"/>
    <w:basedOn w:val="748"/>
    <w:next w:val="748"/>
    <w:uiPriority w:val="0"/>
    <w:qFormat/>
    <w:rPr>
      <w:rFonts w:ascii="楷体_GB2312" w:hAnsi="Arial" w:eastAsia="楷体_GB2312" w:cs="Times New Roman"/>
      <w:sz w:val="28"/>
      <w:szCs w:val="28"/>
    </w:rPr>
  </w:style>
  <w:style w:type="paragraph" w:styleId="979" w:customStyle="1">
    <w:name w:val="普通正文"/>
    <w:basedOn w:val="748"/>
    <w:uiPriority w:val="0"/>
    <w:qFormat/>
    <w:pPr>
      <w:ind w:firstLine="480"/>
      <w:jc w:val="left"/>
      <w:spacing w:before="120" w:after="120" w:line="360" w:lineRule="auto"/>
    </w:pPr>
    <w:rPr>
      <w:rFonts w:ascii="Arial" w:hAnsi="Arial"/>
      <w:sz w:val="24"/>
      <w:szCs w:val="24"/>
    </w:rPr>
  </w:style>
  <w:style w:type="character" w:styleId="980" w:customStyle="1">
    <w:name w:val="hover"/>
    <w:basedOn w:val="758"/>
    <w:uiPriority w:val="0"/>
    <w:qFormat/>
    <w:rPr>
      <w:color w:val="5fb878"/>
    </w:rPr>
  </w:style>
  <w:style w:type="character" w:styleId="981" w:customStyle="1">
    <w:name w:val="hover1"/>
    <w:basedOn w:val="758"/>
    <w:uiPriority w:val="0"/>
    <w:qFormat/>
    <w:rPr>
      <w:color w:val="ffffff"/>
    </w:rPr>
  </w:style>
  <w:style w:type="character" w:styleId="982" w:customStyle="1">
    <w:name w:val="hover2"/>
    <w:basedOn w:val="758"/>
    <w:uiPriority w:val="0"/>
    <w:qFormat/>
    <w:rPr>
      <w:color w:val="5fb878"/>
    </w:rPr>
  </w:style>
  <w:style w:type="paragraph" w:styleId="983" w:customStyle="1">
    <w:name w:val="正文文字 6"/>
    <w:next w:val="748"/>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984" w:customStyle="1">
    <w:name w:val="标题 41"/>
    <w:next w:val="985"/>
    <w:uiPriority w:val="0"/>
    <w:qFormat/>
    <w:pPr>
      <w:jc w:val="both"/>
      <w:keepLines/>
      <w:keepNext/>
      <w:spacing w:before="280" w:after="290" w:line="376" w:lineRule="auto"/>
      <w:widowControl w:val="off"/>
      <w:outlineLvl w:val="3"/>
    </w:pPr>
    <w:rPr>
      <w:rFonts w:hint="default" w:ascii="Arial" w:hAnsi="Arial" w:eastAsia="黑体" w:cs="Arial"/>
      <w:b/>
      <w:bCs/>
      <w:sz w:val="28"/>
      <w:szCs w:val="28"/>
      <w:lang w:val="en-US" w:eastAsia="zh-CN" w:bidi="ar-SA"/>
    </w:rPr>
  </w:style>
  <w:style w:type="paragraph" w:styleId="985" w:customStyle="1">
    <w:name w:val="正文缩进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986" w:customStyle="1">
    <w:name w:val="正文首行缩进 211"/>
    <w:uiPriority w:val="0"/>
    <w:qFormat/>
    <w:pPr>
      <w:ind w:left="420" w:firstLine="420"/>
      <w:jc w:val="both"/>
      <w:spacing w:after="120"/>
      <w:widowControl w:val="off"/>
      <w:tabs>
        <w:tab w:val="left" w:pos="525" w:leader="none"/>
        <w:tab w:val="left" w:pos="4320" w:leader="none"/>
      </w:tabs>
    </w:pPr>
    <w:rPr>
      <w:rFonts w:hint="default" w:ascii="Times New Roman" w:hAnsi="Times New Roman" w:eastAsia="宋体" w:cs="Times New Roman"/>
      <w:sz w:val="21"/>
      <w:szCs w:val="21"/>
      <w:lang w:val="en-US" w:eastAsia="zh-CN" w:bidi="ar-SA"/>
    </w:rPr>
  </w:style>
  <w:style w:type="paragraph" w:styleId="987" w:customStyle="1">
    <w:name w:val="正文文本缩进11"/>
    <w:next w:val="988"/>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988" w:customStyle="1">
    <w:name w:val="寄信人地址1"/>
    <w:uiPriority w:val="99"/>
    <w:qFormat/>
    <w:pPr>
      <w:jc w:val="both"/>
      <w:widowControl w:val="off"/>
    </w:pPr>
    <w:rPr>
      <w:rFonts w:hint="default" w:ascii="Arial" w:hAnsi="Arial" w:eastAsia="宋体" w:cs="Arial"/>
      <w:sz w:val="21"/>
      <w:szCs w:val="21"/>
      <w:lang w:val="en-US" w:eastAsia="zh-CN" w:bidi="ar-SA"/>
    </w:rPr>
  </w:style>
  <w:style w:type="character" w:styleId="989" w:customStyle="1">
    <w:name w:val="NormalCharacter1"/>
    <w:link w:val="748"/>
    <w:uiPriority w:val="0"/>
    <w:semiHidden/>
    <w:qFormat/>
    <w:rPr>
      <w:rFonts w:hint="default" w:asciiTheme="minorHAnsi" w:hAnsiTheme="minorHAnsi" w:eastAsiaTheme="minorEastAsia" w:cstheme="minorBidi"/>
      <w:sz w:val="21"/>
      <w:szCs w:val="22"/>
    </w:rPr>
  </w:style>
  <w:style w:type="paragraph" w:styleId="990" w:customStyle="1">
    <w:name w:val="正文1"/>
    <w:uiPriority w:val="99"/>
    <w:qFormat/>
    <w:pPr>
      <w:jc w:val="both"/>
      <w:widowControl w:val="off"/>
    </w:pPr>
    <w:rPr>
      <w:rFonts w:ascii="Calibri" w:hAnsi="Calibri" w:eastAsia="宋体" w:cs="Calibri"/>
      <w:lang w:val="en-US" w:eastAsia="zh-CN" w:bidi="ar-SA"/>
    </w:rPr>
  </w:style>
  <w:style w:type="character" w:styleId="991" w:customStyle="1">
    <w:name w:val="font91"/>
    <w:basedOn w:val="758"/>
    <w:uiPriority w:val="0"/>
    <w:qFormat/>
    <w:rPr>
      <w:rFonts w:hint="eastAsia" w:ascii="宋体" w:hAnsi="宋体" w:eastAsia="宋体" w:cs="宋体"/>
      <w:color w:val="ff0000"/>
      <w:sz w:val="18"/>
      <w:szCs w:val="18"/>
      <w:u w:val="none"/>
    </w:rPr>
  </w:style>
  <w:style w:type="character" w:styleId="992" w:customStyle="1">
    <w:name w:val="font81"/>
    <w:basedOn w:val="758"/>
    <w:uiPriority w:val="0"/>
    <w:qFormat/>
    <w:rPr>
      <w:rFonts w:hint="eastAsia" w:ascii="宋体" w:hAnsi="宋体" w:eastAsia="宋体" w:cs="宋体"/>
      <w:color w:val="ff0000"/>
      <w:sz w:val="18"/>
      <w:szCs w:val="18"/>
      <w:u w:val="none"/>
    </w:rPr>
  </w:style>
  <w:style w:type="character" w:styleId="993" w:customStyle="1">
    <w:name w:val="font61"/>
    <w:basedOn w:val="758"/>
    <w:uiPriority w:val="0"/>
    <w:qFormat/>
    <w:rPr>
      <w:rFonts w:ascii="Arial" w:hAnsi="Arial" w:cs="Arial"/>
      <w:color w:val="000000"/>
      <w:sz w:val="18"/>
      <w:szCs w:val="18"/>
      <w:u w:val="none"/>
    </w:rPr>
  </w:style>
  <w:style w:type="paragraph" w:styleId="994" w:customStyle="1">
    <w:name w:val="正文文本缩进1"/>
    <w:basedOn w:val="748"/>
    <w:next w:val="748"/>
    <w:uiPriority w:val="0"/>
    <w:qFormat/>
    <w:pPr>
      <w:ind w:firstLine="645"/>
    </w:pPr>
    <w:rPr>
      <w:rFonts w:ascii="楷体_GB2312" w:eastAsia="楷体_GB2312"/>
      <w:sz w:val="32"/>
      <w:szCs w:val="20"/>
    </w:rPr>
  </w:style>
  <w:style w:type="paragraph" w:styleId="995" w:customStyle="1">
    <w:name w:val="样式 标题 2 + 黑色 行距: 1.5 倍行距"/>
    <w:basedOn w:val="750"/>
    <w:uiPriority w:val="0"/>
    <w:qFormat/>
    <w:pPr>
      <w:spacing w:line="360" w:lineRule="auto"/>
    </w:pPr>
    <w:rPr>
      <w:rFonts w:eastAsia="宋体" w:cs="宋体"/>
      <w:color w:val="000000"/>
      <w:szCs w:val="20"/>
    </w:rPr>
  </w:style>
  <w:style w:type="character" w:styleId="996" w:customStyle="1">
    <w:name w:val="font71"/>
    <w:basedOn w:val="758"/>
    <w:uiPriority w:val="0"/>
    <w:qFormat/>
    <w:rPr>
      <w:rFonts w:hint="default" w:ascii="Times New Roman" w:hAnsi="Times New Roman" w:cs="Times New Roman"/>
      <w:color w:val="000000"/>
      <w:sz w:val="18"/>
      <w:szCs w:val="18"/>
      <w:u w:val="none"/>
    </w:rPr>
  </w:style>
  <w:style w:type="character" w:styleId="997" w:customStyle="1">
    <w:name w:val="font51"/>
    <w:basedOn w:val="758"/>
    <w:uiPriority w:val="0"/>
    <w:qFormat/>
    <w:rPr>
      <w:rFonts w:hint="eastAsia" w:ascii="宋体" w:hAnsi="宋体" w:eastAsia="宋体" w:cs="宋体"/>
      <w:color w:val="000000"/>
      <w:sz w:val="18"/>
      <w:szCs w:val="18"/>
      <w:u w:val="none"/>
    </w:rPr>
  </w:style>
  <w:style w:type="character" w:styleId="998" w:customStyle="1">
    <w:name w:val="font101"/>
    <w:basedOn w:val="758"/>
    <w:uiPriority w:val="0"/>
    <w:qFormat/>
    <w:rPr>
      <w:rFonts w:hint="eastAsia" w:ascii="宋体" w:hAnsi="宋体" w:eastAsia="宋体" w:cs="宋体"/>
      <w:color w:val="000000"/>
      <w:sz w:val="21"/>
      <w:szCs w:val="21"/>
      <w:u w:val="none"/>
    </w:rPr>
  </w:style>
  <w:style w:type="character" w:styleId="999" w:customStyle="1">
    <w:name w:val="font111"/>
    <w:basedOn w:val="758"/>
    <w:uiPriority w:val="0"/>
    <w:qFormat/>
    <w:rPr>
      <w:rFonts w:hint="eastAsia" w:ascii="宋体" w:hAnsi="宋体" w:eastAsia="宋体" w:cs="宋体"/>
      <w:color w:val="000000"/>
      <w:sz w:val="21"/>
      <w:szCs w:val="21"/>
      <w:u w:val="none"/>
    </w:rPr>
  </w:style>
  <w:style w:type="character" w:styleId="1000" w:customStyle="1">
    <w:name w:val="font112"/>
    <w:basedOn w:val="758"/>
    <w:uiPriority w:val="0"/>
    <w:qFormat/>
    <w:rPr>
      <w:rFonts w:hint="default" w:ascii="Times New Roman" w:hAnsi="Times New Roman" w:cs="Times New Roman"/>
      <w:color w:val="000000"/>
      <w:sz w:val="18"/>
      <w:szCs w:val="18"/>
      <w:u w:val="none"/>
    </w:rPr>
  </w:style>
  <w:style w:type="character" w:styleId="1001" w:customStyle="1">
    <w:name w:val="font21"/>
    <w:basedOn w:val="758"/>
    <w:uiPriority w:val="0"/>
    <w:qFormat/>
    <w:rPr>
      <w:rFonts w:hint="eastAsia" w:ascii="宋体" w:hAnsi="宋体" w:eastAsia="宋体" w:cs="宋体"/>
      <w:color w:val="000000"/>
      <w:sz w:val="18"/>
      <w:szCs w:val="18"/>
      <w:u w:val="none"/>
    </w:rPr>
  </w:style>
  <w:style w:type="numbering" w:styleId="175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邢欢</cp:lastModifiedBy>
  <cp:revision>6</cp:revision>
  <dcterms:created xsi:type="dcterms:W3CDTF">2024-05-21T01:33:00Z</dcterms:created>
  <dcterms:modified xsi:type="dcterms:W3CDTF">2026-07-09T00:39:51Z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C6A38A6B027D4941BBEB68E83D13BC9A_13</vt:lpwstr>
  </property>
  <property fmtid="{D5CDD505-2E9C-101B-9397-08002B2CF9AE}" pid="4" name="KSOTemplateDocerSaveRecord">
    <vt:lpwstr>eyJoZGlkIjoiM2Y1MjMzZjY0MzNlZWY2MzhmODgyYmU1ZjhhODg3ZjIiLCJ1c2VySWQiOiIyNTA1MTQ3OTAifQ==</vt:lpwstr>
  </property>
</Properties>
</file>